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70CD18" w14:textId="77777777" w:rsidR="00175CF2" w:rsidRDefault="002B433E">
      <w:pPr>
        <w:widowControl w:val="0"/>
        <w:spacing w:line="240" w:lineRule="auto"/>
        <w:rPr>
          <w:rFonts w:ascii="Tahoma" w:eastAsia="Tahoma" w:hAnsi="Tahoma" w:cs="Tahoma"/>
          <w:b/>
          <w:color w:val="FF0000"/>
          <w:sz w:val="28"/>
          <w:szCs w:val="28"/>
        </w:rPr>
      </w:pPr>
      <w:bookmarkStart w:id="0" w:name="_gjdgxs" w:colFirst="0" w:colLast="0"/>
      <w:bookmarkEnd w:id="0"/>
      <w:r>
        <w:rPr>
          <w:rFonts w:ascii="Tahoma" w:eastAsia="Tahoma" w:hAnsi="Tahoma" w:cs="Tahoma"/>
          <w:b/>
          <w:noProof/>
          <w:color w:val="FF0000"/>
          <w:sz w:val="28"/>
          <w:szCs w:val="28"/>
        </w:rPr>
        <w:drawing>
          <wp:inline distT="0" distB="0" distL="114300" distR="114300" wp14:anchorId="04FD3B73" wp14:editId="01DE5C29">
            <wp:extent cx="1819275" cy="1009650"/>
            <wp:effectExtent l="0" t="0" r="0" b="0"/>
            <wp:docPr id="1" name="image1.jpg" descr="Description : \\dc.snuipp.local\home$\nizard\Desktop\A FAIRE PARTIR\Nouveau logo SNUipp-FSU.jpg"/>
            <wp:cNvGraphicFramePr/>
            <a:graphic xmlns:a="http://schemas.openxmlformats.org/drawingml/2006/main">
              <a:graphicData uri="http://schemas.openxmlformats.org/drawingml/2006/picture">
                <pic:pic xmlns:pic="http://schemas.openxmlformats.org/drawingml/2006/picture">
                  <pic:nvPicPr>
                    <pic:cNvPr id="0" name="image1.jpg" descr="Description : \\dc.snuipp.local\home$\nizard\Desktop\A FAIRE PARTIR\Nouveau logo SNUipp-FSU.jpg"/>
                    <pic:cNvPicPr preferRelativeResize="0"/>
                  </pic:nvPicPr>
                  <pic:blipFill>
                    <a:blip r:embed="rId7"/>
                    <a:srcRect/>
                    <a:stretch>
                      <a:fillRect/>
                    </a:stretch>
                  </pic:blipFill>
                  <pic:spPr>
                    <a:xfrm>
                      <a:off x="0" y="0"/>
                      <a:ext cx="1819275" cy="1009650"/>
                    </a:xfrm>
                    <a:prstGeom prst="rect">
                      <a:avLst/>
                    </a:prstGeom>
                    <a:ln/>
                  </pic:spPr>
                </pic:pic>
              </a:graphicData>
            </a:graphic>
          </wp:inline>
        </w:drawing>
      </w:r>
    </w:p>
    <w:p w14:paraId="63C9586D" w14:textId="77777777" w:rsidR="00175CF2" w:rsidRDefault="00175CF2">
      <w:pPr>
        <w:jc w:val="right"/>
        <w:rPr>
          <w:rFonts w:ascii="Tahoma" w:eastAsia="Tahoma" w:hAnsi="Tahoma" w:cs="Tahoma"/>
          <w:b/>
          <w:color w:val="FF0000"/>
          <w:sz w:val="28"/>
          <w:szCs w:val="28"/>
        </w:rPr>
      </w:pPr>
      <w:bookmarkStart w:id="1" w:name="_30j0zll" w:colFirst="0" w:colLast="0"/>
      <w:bookmarkEnd w:id="1"/>
    </w:p>
    <w:p w14:paraId="74717ACF" w14:textId="3D676844" w:rsidR="00175CF2" w:rsidRPr="003647E7" w:rsidRDefault="002B433E" w:rsidP="003647E7">
      <w:pPr>
        <w:jc w:val="right"/>
        <w:rPr>
          <w:rFonts w:ascii="Tahoma" w:eastAsia="Tahoma" w:hAnsi="Tahoma" w:cs="Tahoma"/>
          <w:i/>
          <w:sz w:val="28"/>
          <w:szCs w:val="28"/>
        </w:rPr>
      </w:pPr>
      <w:r>
        <w:rPr>
          <w:rFonts w:ascii="Tahoma" w:eastAsia="Tahoma" w:hAnsi="Tahoma" w:cs="Tahoma"/>
          <w:i/>
          <w:sz w:val="28"/>
          <w:szCs w:val="28"/>
        </w:rPr>
        <w:t xml:space="preserve"> </w:t>
      </w:r>
    </w:p>
    <w:p w14:paraId="408149D7" w14:textId="77777777" w:rsidR="00175CF2" w:rsidRDefault="002B433E">
      <w:pPr>
        <w:jc w:val="center"/>
        <w:rPr>
          <w:rFonts w:ascii="Calibri" w:eastAsia="Calibri" w:hAnsi="Calibri" w:cs="Calibri"/>
          <w:b/>
          <w:sz w:val="40"/>
          <w:szCs w:val="40"/>
          <w:u w:val="single"/>
        </w:rPr>
      </w:pPr>
      <w:r>
        <w:rPr>
          <w:rFonts w:ascii="Calibri" w:eastAsia="Calibri" w:hAnsi="Calibri" w:cs="Calibri"/>
          <w:b/>
          <w:sz w:val="40"/>
          <w:szCs w:val="40"/>
          <w:u w:val="single"/>
        </w:rPr>
        <w:t xml:space="preserve">Détachement dans l’éducation nationale </w:t>
      </w:r>
    </w:p>
    <w:p w14:paraId="3AFA93A6" w14:textId="77777777" w:rsidR="00175CF2" w:rsidRDefault="002B433E">
      <w:pPr>
        <w:jc w:val="center"/>
        <w:rPr>
          <w:rFonts w:ascii="Calibri" w:eastAsia="Calibri" w:hAnsi="Calibri" w:cs="Calibri"/>
          <w:b/>
          <w:sz w:val="40"/>
          <w:szCs w:val="40"/>
          <w:u w:val="single"/>
        </w:rPr>
      </w:pPr>
      <w:proofErr w:type="gramStart"/>
      <w:r>
        <w:rPr>
          <w:rFonts w:ascii="Calibri" w:eastAsia="Calibri" w:hAnsi="Calibri" w:cs="Calibri"/>
          <w:b/>
          <w:sz w:val="40"/>
          <w:szCs w:val="40"/>
          <w:u w:val="single"/>
        </w:rPr>
        <w:t>pour</w:t>
      </w:r>
      <w:proofErr w:type="gramEnd"/>
      <w:r>
        <w:rPr>
          <w:rFonts w:ascii="Calibri" w:eastAsia="Calibri" w:hAnsi="Calibri" w:cs="Calibri"/>
          <w:b/>
          <w:sz w:val="40"/>
          <w:szCs w:val="40"/>
          <w:u w:val="single"/>
        </w:rPr>
        <w:t xml:space="preserve"> la rentrée 2025</w:t>
      </w:r>
    </w:p>
    <w:p w14:paraId="39FF1947" w14:textId="77777777" w:rsidR="00175CF2" w:rsidRDefault="002B433E">
      <w:pPr>
        <w:jc w:val="center"/>
        <w:rPr>
          <w:rFonts w:ascii="Tahoma" w:eastAsia="Tahoma" w:hAnsi="Tahoma" w:cs="Tahoma"/>
          <w:b/>
          <w:sz w:val="28"/>
          <w:szCs w:val="28"/>
        </w:rPr>
      </w:pPr>
      <w:r>
        <w:rPr>
          <w:rFonts w:ascii="Tahoma" w:eastAsia="Tahoma" w:hAnsi="Tahoma" w:cs="Tahoma"/>
          <w:b/>
          <w:sz w:val="28"/>
          <w:szCs w:val="28"/>
        </w:rPr>
        <w:t xml:space="preserve"> </w:t>
      </w:r>
    </w:p>
    <w:p w14:paraId="73577567" w14:textId="29E02CA5" w:rsidR="00175CF2" w:rsidRDefault="00175CF2">
      <w:pPr>
        <w:rPr>
          <w:rFonts w:ascii="Calibri" w:eastAsia="Calibri" w:hAnsi="Calibri" w:cs="Calibri"/>
          <w:sz w:val="24"/>
          <w:szCs w:val="24"/>
        </w:rPr>
      </w:pPr>
    </w:p>
    <w:p w14:paraId="7D3FE407" w14:textId="77777777" w:rsidR="00175CF2" w:rsidRDefault="002B433E">
      <w:pPr>
        <w:jc w:val="both"/>
        <w:rPr>
          <w:rFonts w:ascii="Calibri" w:eastAsia="Calibri" w:hAnsi="Calibri" w:cs="Calibri"/>
          <w:sz w:val="24"/>
          <w:szCs w:val="24"/>
        </w:rPr>
      </w:pPr>
      <w:r>
        <w:rPr>
          <w:rFonts w:ascii="Calibri" w:eastAsia="Calibri" w:hAnsi="Calibri" w:cs="Calibri"/>
          <w:b/>
          <w:sz w:val="24"/>
          <w:szCs w:val="24"/>
        </w:rPr>
        <w:t>Textes de référence</w:t>
      </w:r>
      <w:r>
        <w:rPr>
          <w:rFonts w:ascii="Calibri" w:eastAsia="Calibri" w:hAnsi="Calibri" w:cs="Calibri"/>
          <w:sz w:val="24"/>
          <w:szCs w:val="24"/>
        </w:rPr>
        <w:t xml:space="preserve"> :</w:t>
      </w:r>
    </w:p>
    <w:p w14:paraId="171BEB3D" w14:textId="77777777" w:rsidR="00175CF2" w:rsidRDefault="002B433E">
      <w:pPr>
        <w:spacing w:line="240" w:lineRule="auto"/>
        <w:ind w:left="1080" w:hanging="360"/>
        <w:rPr>
          <w:rFonts w:ascii="Calibri" w:eastAsia="Calibri" w:hAnsi="Calibri" w:cs="Calibri"/>
          <w:color w:val="1155CC"/>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hyperlink r:id="rId8">
        <w:r>
          <w:rPr>
            <w:rFonts w:ascii="Calibri" w:eastAsia="Calibri" w:hAnsi="Calibri" w:cs="Calibri"/>
            <w:color w:val="1155CC"/>
            <w:sz w:val="24"/>
            <w:szCs w:val="24"/>
            <w:u w:val="single"/>
          </w:rPr>
          <w:t>Note de service du 10 décembre 2024, BO n°48 du 19 décembre, NOR : MENH2428155N</w:t>
        </w:r>
      </w:hyperlink>
    </w:p>
    <w:p w14:paraId="251C3F08" w14:textId="77777777" w:rsidR="00175CF2" w:rsidRDefault="002B433E">
      <w:pPr>
        <w:ind w:left="1080" w:hanging="360"/>
        <w:jc w:val="both"/>
        <w:rPr>
          <w:rFonts w:ascii="Calibri" w:eastAsia="Calibri" w:hAnsi="Calibri" w:cs="Calibri"/>
          <w:color w:val="1155CC"/>
          <w:sz w:val="24"/>
          <w:szCs w:val="24"/>
          <w:u w:val="single"/>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Se reporter aussi à la</w:t>
      </w:r>
      <w:r>
        <w:rPr>
          <w:rFonts w:ascii="Calibri" w:eastAsia="Calibri" w:hAnsi="Calibri" w:cs="Calibri"/>
          <w:color w:val="1155CC"/>
          <w:sz w:val="24"/>
          <w:szCs w:val="24"/>
          <w:u w:val="single"/>
        </w:rPr>
        <w:t xml:space="preserve"> </w:t>
      </w:r>
      <w:hyperlink r:id="rId9">
        <w:r>
          <w:rPr>
            <w:rFonts w:ascii="Calibri" w:eastAsia="Calibri" w:hAnsi="Calibri" w:cs="Calibri"/>
            <w:color w:val="1155CC"/>
            <w:sz w:val="24"/>
            <w:szCs w:val="24"/>
            <w:u w:val="single"/>
          </w:rPr>
          <w:t>LDG mobilité parue au BO Spécial n°5 du 31/10/24</w:t>
        </w:r>
      </w:hyperlink>
    </w:p>
    <w:p w14:paraId="47AACE67"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7EBD1D9B" w14:textId="77777777" w:rsidR="00175CF2" w:rsidRPr="003647E7" w:rsidRDefault="002B433E">
      <w:pPr>
        <w:pStyle w:val="Titre3"/>
        <w:keepNext w:val="0"/>
        <w:keepLines w:val="0"/>
        <w:spacing w:before="0" w:after="0"/>
        <w:jc w:val="both"/>
        <w:rPr>
          <w:rFonts w:ascii="Calibri" w:eastAsia="Calibri" w:hAnsi="Calibri" w:cs="Calibri"/>
          <w:bCs/>
          <w:color w:val="000000"/>
          <w:sz w:val="24"/>
          <w:szCs w:val="24"/>
        </w:rPr>
      </w:pPr>
      <w:bookmarkStart w:id="2" w:name="_9lzhkdqg5vqp" w:colFirst="0" w:colLast="0"/>
      <w:bookmarkEnd w:id="2"/>
      <w:r w:rsidRPr="003647E7">
        <w:rPr>
          <w:rFonts w:ascii="Calibri" w:eastAsia="Calibri" w:hAnsi="Calibri" w:cs="Calibri"/>
          <w:bCs/>
          <w:color w:val="000000"/>
          <w:sz w:val="24"/>
          <w:szCs w:val="24"/>
        </w:rPr>
        <w:t>La note de service relative au “ Détachement de fonctionnaires de catégorie A dans les corps des personnels enseignants des premier et second degrés, des personnels d'éducation et des psychologues de l'éducation nationale relevant du ministère chargé de l'</w:t>
      </w:r>
      <w:r w:rsidRPr="003647E7">
        <w:rPr>
          <w:rFonts w:ascii="Calibri" w:eastAsia="Calibri" w:hAnsi="Calibri" w:cs="Calibri"/>
          <w:bCs/>
          <w:color w:val="000000"/>
          <w:sz w:val="24"/>
          <w:szCs w:val="24"/>
        </w:rPr>
        <w:t>éducation nationale - rentrée 2025 ” est parue au BO n°48 du 19 décembre 2024. Elle s’inscrit dans le cadre des lignes directrices de gestion.</w:t>
      </w:r>
    </w:p>
    <w:p w14:paraId="3825BB7F" w14:textId="77777777" w:rsidR="00175CF2" w:rsidRDefault="002B433E">
      <w:pPr>
        <w:pStyle w:val="Titre3"/>
        <w:keepNext w:val="0"/>
        <w:keepLines w:val="0"/>
        <w:spacing w:before="0" w:after="0"/>
        <w:jc w:val="both"/>
        <w:rPr>
          <w:rFonts w:ascii="Calibri" w:eastAsia="Calibri" w:hAnsi="Calibri" w:cs="Calibri"/>
          <w:b/>
          <w:color w:val="000000"/>
          <w:sz w:val="24"/>
          <w:szCs w:val="24"/>
        </w:rPr>
      </w:pPr>
      <w:bookmarkStart w:id="3" w:name="_9muqsmrtctsd" w:colFirst="0" w:colLast="0"/>
      <w:bookmarkEnd w:id="3"/>
      <w:r>
        <w:rPr>
          <w:rFonts w:ascii="Calibri" w:eastAsia="Calibri" w:hAnsi="Calibri" w:cs="Calibri"/>
          <w:b/>
          <w:color w:val="000000"/>
          <w:sz w:val="24"/>
          <w:szCs w:val="24"/>
        </w:rPr>
        <w:t xml:space="preserve"> </w:t>
      </w:r>
    </w:p>
    <w:p w14:paraId="62CEEF99" w14:textId="0B968407" w:rsidR="003647E7" w:rsidRPr="003647E7" w:rsidRDefault="002B433E">
      <w:pPr>
        <w:rPr>
          <w:rFonts w:ascii="Calibri" w:eastAsia="Calibri" w:hAnsi="Calibri" w:cs="Calibri"/>
          <w:b/>
          <w:sz w:val="24"/>
          <w:szCs w:val="24"/>
        </w:rPr>
      </w:pPr>
      <w:r w:rsidRPr="003647E7">
        <w:rPr>
          <w:rFonts w:ascii="Calibri" w:eastAsia="Calibri" w:hAnsi="Calibri" w:cs="Calibri"/>
          <w:b/>
          <w:sz w:val="24"/>
          <w:szCs w:val="24"/>
        </w:rPr>
        <w:t xml:space="preserve">Depuis la campagne 2023, les candidatures sont entièrement dématérialisées, transmises via l’application </w:t>
      </w:r>
      <w:hyperlink r:id="rId10">
        <w:proofErr w:type="spellStart"/>
        <w:r w:rsidRPr="003647E7">
          <w:rPr>
            <w:rFonts w:ascii="Calibri" w:eastAsia="Calibri" w:hAnsi="Calibri" w:cs="Calibri"/>
            <w:b/>
            <w:color w:val="1155CC"/>
            <w:sz w:val="24"/>
            <w:szCs w:val="24"/>
            <w:u w:val="single"/>
          </w:rPr>
          <w:t>Pegase</w:t>
        </w:r>
        <w:proofErr w:type="spellEnd"/>
      </w:hyperlink>
      <w:r w:rsidRPr="003647E7">
        <w:rPr>
          <w:rFonts w:ascii="Calibri" w:eastAsia="Calibri" w:hAnsi="Calibri" w:cs="Calibri"/>
          <w:b/>
          <w:sz w:val="24"/>
          <w:szCs w:val="24"/>
        </w:rPr>
        <w:t xml:space="preserve">  et s'inscrivent dans un calendrier national</w:t>
      </w:r>
      <w:r w:rsidR="003647E7" w:rsidRPr="003647E7">
        <w:rPr>
          <w:rFonts w:ascii="Calibri" w:eastAsia="Calibri" w:hAnsi="Calibri" w:cs="Calibri"/>
          <w:b/>
          <w:sz w:val="24"/>
          <w:szCs w:val="24"/>
        </w:rPr>
        <w:t xml:space="preserve"> (</w:t>
      </w:r>
      <w:proofErr w:type="spellStart"/>
      <w:r w:rsidR="003647E7" w:rsidRPr="003647E7">
        <w:rPr>
          <w:rFonts w:ascii="Calibri" w:eastAsia="Calibri" w:hAnsi="Calibri" w:cs="Calibri"/>
          <w:b/>
          <w:sz w:val="24"/>
          <w:szCs w:val="24"/>
        </w:rPr>
        <w:t>cf</w:t>
      </w:r>
      <w:proofErr w:type="spellEnd"/>
      <w:r w:rsidR="003647E7" w:rsidRPr="003647E7">
        <w:rPr>
          <w:rFonts w:ascii="Calibri" w:eastAsia="Calibri" w:hAnsi="Calibri" w:cs="Calibri"/>
          <w:b/>
          <w:sz w:val="24"/>
          <w:szCs w:val="24"/>
        </w:rPr>
        <w:t xml:space="preserve"> point 4)</w:t>
      </w:r>
    </w:p>
    <w:p w14:paraId="64900690" w14:textId="77777777" w:rsidR="003647E7" w:rsidRDefault="003647E7" w:rsidP="003647E7">
      <w:pPr>
        <w:jc w:val="center"/>
        <w:rPr>
          <w:rFonts w:ascii="Calibri" w:eastAsia="Calibri" w:hAnsi="Calibri" w:cs="Calibri"/>
          <w:color w:val="FF0000"/>
          <w:sz w:val="24"/>
          <w:szCs w:val="24"/>
        </w:rPr>
      </w:pPr>
    </w:p>
    <w:p w14:paraId="00D9BC43" w14:textId="386DBA47" w:rsidR="003647E7" w:rsidRPr="003647E7" w:rsidRDefault="003647E7" w:rsidP="003647E7">
      <w:pPr>
        <w:jc w:val="center"/>
        <w:rPr>
          <w:rFonts w:ascii="Calibri" w:eastAsia="Calibri" w:hAnsi="Calibri" w:cs="Calibri"/>
          <w:b/>
          <w:bCs/>
          <w:color w:val="FF0000"/>
          <w:sz w:val="24"/>
          <w:szCs w:val="24"/>
        </w:rPr>
      </w:pPr>
      <w:r w:rsidRPr="003647E7">
        <w:rPr>
          <w:rFonts w:ascii="Calibri" w:eastAsia="Calibri" w:hAnsi="Calibri" w:cs="Calibri"/>
          <w:b/>
          <w:bCs/>
          <w:color w:val="FF0000"/>
          <w:sz w:val="24"/>
          <w:szCs w:val="24"/>
        </w:rPr>
        <w:t>Saisie des demandes des candidats sur</w:t>
      </w:r>
    </w:p>
    <w:p w14:paraId="2853B884" w14:textId="2283F0B6" w:rsidR="003647E7" w:rsidRDefault="003647E7" w:rsidP="003647E7">
      <w:pPr>
        <w:jc w:val="center"/>
        <w:rPr>
          <w:rFonts w:ascii="Calibri" w:eastAsia="Calibri" w:hAnsi="Calibri" w:cs="Calibri"/>
          <w:color w:val="1155CC"/>
          <w:sz w:val="24"/>
          <w:szCs w:val="24"/>
          <w:u w:val="single"/>
        </w:rPr>
      </w:pPr>
      <w:hyperlink r:id="rId11">
        <w:r>
          <w:rPr>
            <w:rFonts w:ascii="Calibri" w:eastAsia="Calibri" w:hAnsi="Calibri" w:cs="Calibri"/>
            <w:color w:val="1155CC"/>
            <w:sz w:val="24"/>
            <w:szCs w:val="24"/>
            <w:u w:val="single"/>
          </w:rPr>
          <w:t>https://i-dgrh2-app.adc.education.fr/pegase</w:t>
        </w:r>
      </w:hyperlink>
    </w:p>
    <w:p w14:paraId="76EE40BA" w14:textId="5B11604C" w:rsidR="003647E7" w:rsidRPr="003647E7" w:rsidRDefault="003647E7" w:rsidP="003647E7">
      <w:pPr>
        <w:jc w:val="center"/>
        <w:rPr>
          <w:rFonts w:ascii="Calibri" w:eastAsia="Calibri" w:hAnsi="Calibri" w:cs="Calibri"/>
          <w:b/>
          <w:color w:val="FF0000"/>
          <w:sz w:val="28"/>
          <w:szCs w:val="28"/>
        </w:rPr>
      </w:pPr>
      <w:r w:rsidRPr="003647E7">
        <w:rPr>
          <w:rFonts w:ascii="Calibri" w:eastAsia="Calibri" w:hAnsi="Calibri" w:cs="Calibri"/>
          <w:b/>
          <w:color w:val="FF0000"/>
          <w:sz w:val="24"/>
          <w:szCs w:val="24"/>
        </w:rPr>
        <w:t>13 janvier au 7 février 2025</w:t>
      </w:r>
    </w:p>
    <w:p w14:paraId="2321836E" w14:textId="37CAB77E" w:rsidR="00175CF2" w:rsidRPr="003647E7" w:rsidRDefault="00175CF2">
      <w:pPr>
        <w:rPr>
          <w:rFonts w:ascii="Calibri" w:eastAsia="Calibri" w:hAnsi="Calibri" w:cs="Calibri"/>
          <w:b/>
          <w:color w:val="FF0000"/>
          <w:sz w:val="28"/>
          <w:szCs w:val="28"/>
        </w:rPr>
      </w:pPr>
    </w:p>
    <w:p w14:paraId="57BBDF76" w14:textId="77777777" w:rsidR="00175CF2" w:rsidRDefault="002B433E">
      <w:pPr>
        <w:numPr>
          <w:ilvl w:val="0"/>
          <w:numId w:val="6"/>
        </w:numPr>
        <w:jc w:val="both"/>
        <w:rPr>
          <w:rFonts w:ascii="Tahoma" w:eastAsia="Tahoma" w:hAnsi="Tahoma" w:cs="Tahoma"/>
          <w:sz w:val="28"/>
          <w:szCs w:val="28"/>
        </w:rPr>
      </w:pPr>
      <w:r>
        <w:rPr>
          <w:rFonts w:ascii="Calibri" w:eastAsia="Calibri" w:hAnsi="Calibri" w:cs="Calibri"/>
          <w:b/>
          <w:sz w:val="24"/>
          <w:szCs w:val="24"/>
          <w:u w:val="single"/>
        </w:rPr>
        <w:t>Cadre général</w:t>
      </w:r>
    </w:p>
    <w:p w14:paraId="5D789D2A"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Les demandes de détachement sont prises en compte par l’IA-DASEN au regard des besoins. Seules les demandes ayant recueilli un avis favorable de l’IA-DASEN pour le premier degré sont transmises à la DGRH.</w:t>
      </w:r>
    </w:p>
    <w:p w14:paraId="7732324A"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5BC03F83" w14:textId="77777777" w:rsidR="00175CF2" w:rsidRDefault="002B433E">
      <w:pPr>
        <w:numPr>
          <w:ilvl w:val="0"/>
          <w:numId w:val="4"/>
        </w:numPr>
        <w:jc w:val="both"/>
        <w:rPr>
          <w:rFonts w:ascii="Calibri" w:eastAsia="Calibri" w:hAnsi="Calibri" w:cs="Calibri"/>
          <w:b/>
          <w:sz w:val="24"/>
          <w:szCs w:val="24"/>
        </w:rPr>
      </w:pPr>
      <w:r>
        <w:rPr>
          <w:rFonts w:ascii="Calibri" w:eastAsia="Calibri" w:hAnsi="Calibri" w:cs="Calibri"/>
          <w:b/>
          <w:sz w:val="24"/>
          <w:szCs w:val="24"/>
        </w:rPr>
        <w:t xml:space="preserve">Détachement et principe dit de « double carrière </w:t>
      </w:r>
      <w:r>
        <w:rPr>
          <w:rFonts w:ascii="Calibri" w:eastAsia="Calibri" w:hAnsi="Calibri" w:cs="Calibri"/>
          <w:b/>
          <w:sz w:val="24"/>
          <w:szCs w:val="24"/>
        </w:rPr>
        <w:t>».</w:t>
      </w:r>
    </w:p>
    <w:p w14:paraId="79515D87"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Les personnels en détachement bénéficient :</w:t>
      </w:r>
    </w:p>
    <w:p w14:paraId="417DF52F" w14:textId="77777777" w:rsidR="00175CF2" w:rsidRDefault="002B433E">
      <w:pPr>
        <w:numPr>
          <w:ilvl w:val="0"/>
          <w:numId w:val="1"/>
        </w:numPr>
        <w:jc w:val="both"/>
        <w:rPr>
          <w:rFonts w:ascii="Calibri" w:eastAsia="Calibri" w:hAnsi="Calibri" w:cs="Calibri"/>
          <w:sz w:val="24"/>
          <w:szCs w:val="24"/>
        </w:rPr>
      </w:pPr>
      <w:proofErr w:type="gramStart"/>
      <w:r>
        <w:rPr>
          <w:rFonts w:ascii="Calibri" w:eastAsia="Calibri" w:hAnsi="Calibri" w:cs="Calibri"/>
          <w:sz w:val="24"/>
          <w:szCs w:val="24"/>
        </w:rPr>
        <w:t>des</w:t>
      </w:r>
      <w:proofErr w:type="gramEnd"/>
      <w:r>
        <w:rPr>
          <w:rFonts w:ascii="Calibri" w:eastAsia="Calibri" w:hAnsi="Calibri" w:cs="Calibri"/>
          <w:sz w:val="24"/>
          <w:szCs w:val="24"/>
        </w:rPr>
        <w:t xml:space="preserve"> mêmes droits à l’avancement et à la promotion que les membres du corps d’accueil, avec prise d’effet immédiate ;</w:t>
      </w:r>
    </w:p>
    <w:p w14:paraId="1833F0B5" w14:textId="77777777" w:rsidR="00175CF2" w:rsidRDefault="002B433E">
      <w:pPr>
        <w:numPr>
          <w:ilvl w:val="0"/>
          <w:numId w:val="1"/>
        </w:numPr>
        <w:jc w:val="both"/>
        <w:rPr>
          <w:rFonts w:ascii="Calibri" w:eastAsia="Calibri" w:hAnsi="Calibri" w:cs="Calibri"/>
          <w:sz w:val="24"/>
          <w:szCs w:val="24"/>
        </w:rPr>
      </w:pPr>
      <w:proofErr w:type="gramStart"/>
      <w:r>
        <w:rPr>
          <w:rFonts w:ascii="Calibri" w:eastAsia="Calibri" w:hAnsi="Calibri" w:cs="Calibri"/>
          <w:sz w:val="24"/>
          <w:szCs w:val="24"/>
        </w:rPr>
        <w:t>d’un</w:t>
      </w:r>
      <w:proofErr w:type="gramEnd"/>
      <w:r>
        <w:rPr>
          <w:rFonts w:ascii="Calibri" w:eastAsia="Calibri" w:hAnsi="Calibri" w:cs="Calibri"/>
          <w:sz w:val="24"/>
          <w:szCs w:val="24"/>
        </w:rPr>
        <w:t xml:space="preserve"> changement de grade ou d’une promotion à un échelon spécial dans leur corps d’origine (</w:t>
      </w:r>
      <w:r>
        <w:rPr>
          <w:rFonts w:ascii="Calibri" w:eastAsia="Calibri" w:hAnsi="Calibri" w:cs="Calibri"/>
          <w:sz w:val="24"/>
          <w:szCs w:val="24"/>
        </w:rPr>
        <w:t>suite à un concours, inscription sur le tableau d’avancement, …), avec prise d’effet immédiate ;</w:t>
      </w:r>
    </w:p>
    <w:p w14:paraId="1BA6010F" w14:textId="77777777" w:rsidR="00175CF2" w:rsidRDefault="002B433E">
      <w:pPr>
        <w:numPr>
          <w:ilvl w:val="0"/>
          <w:numId w:val="1"/>
        </w:numPr>
        <w:jc w:val="both"/>
        <w:rPr>
          <w:rFonts w:ascii="Calibri" w:eastAsia="Calibri" w:hAnsi="Calibri" w:cs="Calibri"/>
          <w:sz w:val="24"/>
          <w:szCs w:val="24"/>
        </w:rPr>
      </w:pPr>
      <w:proofErr w:type="gramStart"/>
      <w:r>
        <w:rPr>
          <w:rFonts w:ascii="Calibri" w:eastAsia="Calibri" w:hAnsi="Calibri" w:cs="Calibri"/>
          <w:sz w:val="24"/>
          <w:szCs w:val="24"/>
        </w:rPr>
        <w:t>d’un</w:t>
      </w:r>
      <w:proofErr w:type="gramEnd"/>
      <w:r>
        <w:rPr>
          <w:rFonts w:ascii="Calibri" w:eastAsia="Calibri" w:hAnsi="Calibri" w:cs="Calibri"/>
          <w:sz w:val="24"/>
          <w:szCs w:val="24"/>
        </w:rPr>
        <w:t xml:space="preserve"> avancement d’échelon dans leur corps d’origine mais celui-ci ne sera pris en compte que lors du renouvellement de leur détachement, de leur intégration ou</w:t>
      </w:r>
      <w:r>
        <w:rPr>
          <w:rFonts w:ascii="Calibri" w:eastAsia="Calibri" w:hAnsi="Calibri" w:cs="Calibri"/>
          <w:sz w:val="24"/>
          <w:szCs w:val="24"/>
        </w:rPr>
        <w:t xml:space="preserve"> lors de leur réintégration ;</w:t>
      </w:r>
    </w:p>
    <w:p w14:paraId="4A8363DB" w14:textId="77777777" w:rsidR="00175CF2" w:rsidRDefault="002B433E">
      <w:pPr>
        <w:numPr>
          <w:ilvl w:val="0"/>
          <w:numId w:val="1"/>
        </w:numPr>
        <w:jc w:val="both"/>
        <w:rPr>
          <w:rFonts w:ascii="Calibri" w:eastAsia="Calibri" w:hAnsi="Calibri" w:cs="Calibri"/>
          <w:sz w:val="24"/>
          <w:szCs w:val="24"/>
        </w:rPr>
      </w:pPr>
      <w:proofErr w:type="gramStart"/>
      <w:r>
        <w:rPr>
          <w:rFonts w:ascii="Roboto" w:eastAsia="Roboto" w:hAnsi="Roboto" w:cs="Roboto"/>
          <w:sz w:val="21"/>
          <w:szCs w:val="21"/>
        </w:rPr>
        <w:t>lors</w:t>
      </w:r>
      <w:proofErr w:type="gramEnd"/>
      <w:r>
        <w:rPr>
          <w:rFonts w:ascii="Roboto" w:eastAsia="Roboto" w:hAnsi="Roboto" w:cs="Roboto"/>
          <w:sz w:val="21"/>
          <w:szCs w:val="21"/>
        </w:rPr>
        <w:t xml:space="preserve"> de leur réintégration dans leur corps d'origine, le grade et l'échelon qu'ils ont atteints ou auxquels ils peuvent prétendre à la suite de la réussite à un concours ou à un examen professionnel ou de l'inscription sur </w:t>
      </w:r>
      <w:r>
        <w:rPr>
          <w:rFonts w:ascii="Roboto" w:eastAsia="Roboto" w:hAnsi="Roboto" w:cs="Roboto"/>
          <w:sz w:val="21"/>
          <w:szCs w:val="21"/>
        </w:rPr>
        <w:lastRenderedPageBreak/>
        <w:t xml:space="preserve">un </w:t>
      </w:r>
      <w:r>
        <w:rPr>
          <w:rFonts w:ascii="Roboto" w:eastAsia="Roboto" w:hAnsi="Roboto" w:cs="Roboto"/>
          <w:sz w:val="21"/>
          <w:szCs w:val="21"/>
        </w:rPr>
        <w:t>tableau d'avancement au titre de la promotion au choix dans son corps de détachement, sont pris en compte, sous réserve qu'ils leur soient plus favorables</w:t>
      </w:r>
    </w:p>
    <w:p w14:paraId="2D9AA65F" w14:textId="77777777" w:rsidR="00175CF2" w:rsidRDefault="00175CF2">
      <w:pPr>
        <w:ind w:left="1080" w:hanging="360"/>
        <w:jc w:val="both"/>
        <w:rPr>
          <w:rFonts w:ascii="Calibri" w:eastAsia="Calibri" w:hAnsi="Calibri" w:cs="Calibri"/>
          <w:sz w:val="24"/>
          <w:szCs w:val="24"/>
        </w:rPr>
      </w:pPr>
    </w:p>
    <w:p w14:paraId="20ED4DE0" w14:textId="77777777" w:rsidR="00175CF2" w:rsidRDefault="002B433E">
      <w:pPr>
        <w:ind w:left="360"/>
        <w:jc w:val="both"/>
        <w:rPr>
          <w:rFonts w:ascii="Calibri" w:eastAsia="Calibri" w:hAnsi="Calibri" w:cs="Calibri"/>
          <w:sz w:val="24"/>
          <w:szCs w:val="24"/>
        </w:rPr>
      </w:pPr>
      <w:r>
        <w:rPr>
          <w:rFonts w:ascii="Calibri" w:eastAsia="Calibri" w:hAnsi="Calibri" w:cs="Calibri"/>
          <w:sz w:val="24"/>
          <w:szCs w:val="24"/>
        </w:rPr>
        <w:t xml:space="preserve"> </w:t>
      </w:r>
    </w:p>
    <w:p w14:paraId="4AD1492A" w14:textId="77777777" w:rsidR="00175CF2" w:rsidRDefault="002B433E">
      <w:pPr>
        <w:numPr>
          <w:ilvl w:val="0"/>
          <w:numId w:val="4"/>
        </w:numPr>
        <w:jc w:val="both"/>
        <w:rPr>
          <w:rFonts w:ascii="Calibri" w:eastAsia="Calibri" w:hAnsi="Calibri" w:cs="Calibri"/>
          <w:b/>
          <w:sz w:val="24"/>
          <w:szCs w:val="24"/>
        </w:rPr>
      </w:pPr>
      <w:r>
        <w:rPr>
          <w:rFonts w:ascii="Calibri" w:eastAsia="Calibri" w:hAnsi="Calibri" w:cs="Calibri"/>
          <w:b/>
          <w:sz w:val="24"/>
          <w:szCs w:val="24"/>
        </w:rPr>
        <w:t>Détachement et mutations</w:t>
      </w:r>
    </w:p>
    <w:p w14:paraId="59F0B256"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Les personnels détachés sont affectés en fonction des besoins du service </w:t>
      </w:r>
      <w:r>
        <w:rPr>
          <w:rFonts w:ascii="Calibri" w:eastAsia="Calibri" w:hAnsi="Calibri" w:cs="Calibri"/>
          <w:sz w:val="24"/>
          <w:szCs w:val="24"/>
        </w:rPr>
        <w:t>sur tout poste au sein du département (1er degré) ou de l'académie (2d degré). Ils ne sont pas autorisés à participer au mouvement interdépartemental (1er degré) ou au mouvement interacadémique (2d degré) durant leur période de détachement.</w:t>
      </w:r>
    </w:p>
    <w:p w14:paraId="01F68488"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69470F79" w14:textId="77777777" w:rsidR="00175CF2" w:rsidRDefault="002B433E">
      <w:pPr>
        <w:jc w:val="both"/>
        <w:rPr>
          <w:rFonts w:ascii="Calibri" w:eastAsia="Calibri" w:hAnsi="Calibri" w:cs="Calibri"/>
          <w:b/>
          <w:sz w:val="24"/>
          <w:szCs w:val="24"/>
        </w:rPr>
      </w:pPr>
      <w:r>
        <w:rPr>
          <w:rFonts w:ascii="Calibri" w:eastAsia="Calibri" w:hAnsi="Calibri" w:cs="Calibri"/>
          <w:b/>
          <w:sz w:val="24"/>
          <w:szCs w:val="24"/>
        </w:rPr>
        <w:t xml:space="preserve"> </w:t>
      </w:r>
    </w:p>
    <w:p w14:paraId="66298C65" w14:textId="77777777" w:rsidR="00175CF2" w:rsidRDefault="002B433E">
      <w:pPr>
        <w:numPr>
          <w:ilvl w:val="0"/>
          <w:numId w:val="12"/>
        </w:numPr>
        <w:jc w:val="both"/>
        <w:rPr>
          <w:rFonts w:ascii="Tahoma" w:eastAsia="Tahoma" w:hAnsi="Tahoma" w:cs="Tahoma"/>
          <w:sz w:val="28"/>
          <w:szCs w:val="28"/>
        </w:rPr>
      </w:pPr>
      <w:r>
        <w:rPr>
          <w:rFonts w:ascii="Calibri" w:eastAsia="Calibri" w:hAnsi="Calibri" w:cs="Calibri"/>
          <w:b/>
          <w:sz w:val="24"/>
          <w:szCs w:val="24"/>
          <w:u w:val="single"/>
        </w:rPr>
        <w:t>Conditions</w:t>
      </w:r>
    </w:p>
    <w:p w14:paraId="62FBDDB3"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Les fonctionnaires titulaires des trois fonctions publiques, ou des établissements publics qui en dépendent peuvent demander un détachement dans l’éducation nationale à la double condition que les corps d'accueil et d'origine soient :</w:t>
      </w:r>
    </w:p>
    <w:p w14:paraId="73750227" w14:textId="77777777" w:rsidR="00175CF2" w:rsidRDefault="002B433E">
      <w:pPr>
        <w:numPr>
          <w:ilvl w:val="0"/>
          <w:numId w:val="9"/>
        </w:numPr>
        <w:jc w:val="both"/>
        <w:rPr>
          <w:rFonts w:ascii="Calibri" w:eastAsia="Calibri" w:hAnsi="Calibri" w:cs="Calibri"/>
          <w:sz w:val="24"/>
          <w:szCs w:val="24"/>
        </w:rPr>
      </w:pPr>
      <w:proofErr w:type="gramStart"/>
      <w:r>
        <w:rPr>
          <w:rFonts w:ascii="Calibri" w:eastAsia="Calibri" w:hAnsi="Calibri" w:cs="Calibri"/>
          <w:sz w:val="24"/>
          <w:szCs w:val="24"/>
        </w:rPr>
        <w:t>de</w:t>
      </w:r>
      <w:proofErr w:type="gramEnd"/>
      <w:r>
        <w:rPr>
          <w:rFonts w:ascii="Calibri" w:eastAsia="Calibri" w:hAnsi="Calibri" w:cs="Calibri"/>
          <w:sz w:val="24"/>
          <w:szCs w:val="24"/>
        </w:rPr>
        <w:t xml:space="preserve"> catégorie A et de niveau comparable au regard des conditions de recrutement dans le corps (titres, diplômes, missions) ; </w:t>
      </w:r>
    </w:p>
    <w:p w14:paraId="6AE0821C" w14:textId="77777777" w:rsidR="00175CF2" w:rsidRDefault="002B433E">
      <w:pPr>
        <w:numPr>
          <w:ilvl w:val="0"/>
          <w:numId w:val="9"/>
        </w:numPr>
        <w:jc w:val="both"/>
        <w:rPr>
          <w:rFonts w:ascii="Calibri" w:eastAsia="Calibri" w:hAnsi="Calibri" w:cs="Calibri"/>
          <w:sz w:val="24"/>
          <w:szCs w:val="24"/>
        </w:rPr>
      </w:pPr>
      <w:proofErr w:type="gramStart"/>
      <w:r>
        <w:rPr>
          <w:rFonts w:ascii="Calibri" w:eastAsia="Calibri" w:hAnsi="Calibri" w:cs="Calibri"/>
          <w:sz w:val="24"/>
          <w:szCs w:val="24"/>
        </w:rPr>
        <w:t>les</w:t>
      </w:r>
      <w:proofErr w:type="gramEnd"/>
      <w:r>
        <w:rPr>
          <w:rFonts w:ascii="Calibri" w:eastAsia="Calibri" w:hAnsi="Calibri" w:cs="Calibri"/>
          <w:sz w:val="24"/>
          <w:szCs w:val="24"/>
        </w:rPr>
        <w:t xml:space="preserve"> candidat.es au détachement doivent par ailleurs être titulaires des diplômes ci-dessous au 1</w:t>
      </w:r>
      <w:r>
        <w:rPr>
          <w:rFonts w:ascii="Calibri" w:eastAsia="Calibri" w:hAnsi="Calibri" w:cs="Calibri"/>
          <w:sz w:val="24"/>
          <w:szCs w:val="24"/>
          <w:vertAlign w:val="superscript"/>
        </w:rPr>
        <w:t>er</w:t>
      </w:r>
      <w:r>
        <w:rPr>
          <w:rFonts w:ascii="Calibri" w:eastAsia="Calibri" w:hAnsi="Calibri" w:cs="Calibri"/>
          <w:sz w:val="24"/>
          <w:szCs w:val="24"/>
        </w:rPr>
        <w:t>septembre 2025 :</w:t>
      </w:r>
    </w:p>
    <w:tbl>
      <w:tblPr>
        <w:tblStyle w:val="a"/>
        <w:tblW w:w="107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290"/>
        <w:gridCol w:w="3930"/>
        <w:gridCol w:w="3960"/>
      </w:tblGrid>
      <w:tr w:rsidR="00175CF2" w14:paraId="14DFFF31" w14:textId="77777777">
        <w:trPr>
          <w:trHeight w:val="3450"/>
        </w:trPr>
        <w:tc>
          <w:tcPr>
            <w:tcW w:w="2850" w:type="dxa"/>
            <w:gridSpan w:val="2"/>
            <w:tcBorders>
              <w:bottom w:val="single" w:sz="8" w:space="0" w:color="000000"/>
              <w:right w:val="single" w:sz="8" w:space="0" w:color="000000"/>
            </w:tcBorders>
            <w:tcMar>
              <w:top w:w="100" w:type="dxa"/>
              <w:left w:w="100" w:type="dxa"/>
              <w:bottom w:w="100" w:type="dxa"/>
              <w:right w:w="100" w:type="dxa"/>
            </w:tcMar>
          </w:tcPr>
          <w:p w14:paraId="41EC5466" w14:textId="77777777" w:rsidR="00175CF2" w:rsidRDefault="002B433E">
            <w:pPr>
              <w:ind w:left="-300"/>
              <w:rPr>
                <w:rFonts w:ascii="Calibri" w:eastAsia="Calibri" w:hAnsi="Calibri" w:cs="Calibri"/>
                <w:b/>
                <w:sz w:val="24"/>
                <w:szCs w:val="24"/>
              </w:rPr>
            </w:pPr>
            <w:r>
              <w:rPr>
                <w:rFonts w:ascii="Calibri" w:eastAsia="Calibri" w:hAnsi="Calibri" w:cs="Calibri"/>
                <w:b/>
                <w:sz w:val="24"/>
                <w:szCs w:val="24"/>
              </w:rPr>
              <w:t xml:space="preserve"> </w:t>
            </w:r>
          </w:p>
        </w:tc>
        <w:tc>
          <w:tcPr>
            <w:tcW w:w="393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26E9A02" w14:textId="77777777" w:rsidR="00175CF2" w:rsidRDefault="002B433E">
            <w:pPr>
              <w:ind w:left="135"/>
              <w:jc w:val="center"/>
              <w:rPr>
                <w:rFonts w:ascii="Calibri" w:eastAsia="Calibri" w:hAnsi="Calibri" w:cs="Calibri"/>
                <w:b/>
                <w:sz w:val="24"/>
                <w:szCs w:val="24"/>
              </w:rPr>
            </w:pPr>
            <w:r>
              <w:rPr>
                <w:rFonts w:ascii="Calibri" w:eastAsia="Calibri" w:hAnsi="Calibri" w:cs="Calibri"/>
                <w:b/>
                <w:sz w:val="24"/>
                <w:szCs w:val="24"/>
              </w:rPr>
              <w:t>Personnels ens</w:t>
            </w:r>
            <w:r>
              <w:rPr>
                <w:rFonts w:ascii="Calibri" w:eastAsia="Calibri" w:hAnsi="Calibri" w:cs="Calibri"/>
                <w:b/>
                <w:sz w:val="24"/>
                <w:szCs w:val="24"/>
              </w:rPr>
              <w:t>eignants et d'éducation titulaires relevant du ministère de l'Éducation nationale, de la Jeunesse et des Sports</w:t>
            </w:r>
          </w:p>
          <w:p w14:paraId="0817071C" w14:textId="77777777" w:rsidR="00175CF2" w:rsidRDefault="002B433E">
            <w:pPr>
              <w:ind w:left="135"/>
              <w:jc w:val="center"/>
              <w:rPr>
                <w:rFonts w:ascii="Calibri" w:eastAsia="Calibri" w:hAnsi="Calibri" w:cs="Calibri"/>
                <w:b/>
                <w:sz w:val="24"/>
                <w:szCs w:val="24"/>
              </w:rPr>
            </w:pPr>
            <w:r>
              <w:rPr>
                <w:rFonts w:ascii="Calibri" w:eastAsia="Calibri" w:hAnsi="Calibri" w:cs="Calibri"/>
                <w:b/>
                <w:sz w:val="24"/>
                <w:szCs w:val="24"/>
              </w:rPr>
              <w:t>(</w:t>
            </w:r>
            <w:proofErr w:type="gramStart"/>
            <w:r>
              <w:rPr>
                <w:rFonts w:ascii="Calibri" w:eastAsia="Calibri" w:hAnsi="Calibri" w:cs="Calibri"/>
                <w:b/>
                <w:sz w:val="24"/>
                <w:szCs w:val="24"/>
              </w:rPr>
              <w:t>art.</w:t>
            </w:r>
            <w:proofErr w:type="gramEnd"/>
            <w:r>
              <w:rPr>
                <w:rFonts w:ascii="Calibri" w:eastAsia="Calibri" w:hAnsi="Calibri" w:cs="Calibri"/>
                <w:b/>
                <w:sz w:val="24"/>
                <w:szCs w:val="24"/>
              </w:rPr>
              <w:t xml:space="preserve"> 61 du décret n° 2013-768 du 23 août 2013 relatif au recrutement et à la formation initiale de certains personnels enseignants, d'éducation</w:t>
            </w:r>
            <w:r>
              <w:rPr>
                <w:rFonts w:ascii="Calibri" w:eastAsia="Calibri" w:hAnsi="Calibri" w:cs="Calibri"/>
                <w:b/>
                <w:sz w:val="24"/>
                <w:szCs w:val="24"/>
              </w:rPr>
              <w:t xml:space="preserve"> et d'orientation relevant du MENJS)</w:t>
            </w:r>
          </w:p>
        </w:tc>
        <w:tc>
          <w:tcPr>
            <w:tcW w:w="396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678827A" w14:textId="77777777" w:rsidR="00175CF2" w:rsidRDefault="002B433E">
            <w:pPr>
              <w:ind w:left="141"/>
              <w:jc w:val="center"/>
              <w:rPr>
                <w:rFonts w:ascii="Calibri" w:eastAsia="Calibri" w:hAnsi="Calibri" w:cs="Calibri"/>
                <w:b/>
                <w:sz w:val="24"/>
                <w:szCs w:val="24"/>
              </w:rPr>
            </w:pPr>
            <w:r>
              <w:rPr>
                <w:rFonts w:ascii="Calibri" w:eastAsia="Calibri" w:hAnsi="Calibri" w:cs="Calibri"/>
                <w:b/>
                <w:sz w:val="24"/>
                <w:szCs w:val="24"/>
              </w:rPr>
              <w:t xml:space="preserve">Autres fonctionnaires titulaires de Catégorie A </w:t>
            </w:r>
          </w:p>
          <w:p w14:paraId="08328333" w14:textId="77777777" w:rsidR="00175CF2" w:rsidRDefault="002B433E">
            <w:pPr>
              <w:ind w:left="141"/>
              <w:jc w:val="center"/>
              <w:rPr>
                <w:rFonts w:ascii="Calibri" w:eastAsia="Calibri" w:hAnsi="Calibri" w:cs="Calibri"/>
                <w:b/>
                <w:sz w:val="24"/>
                <w:szCs w:val="24"/>
              </w:rPr>
            </w:pPr>
            <w:r>
              <w:rPr>
                <w:rFonts w:ascii="Calibri" w:eastAsia="Calibri" w:hAnsi="Calibri" w:cs="Calibri"/>
                <w:b/>
                <w:sz w:val="24"/>
                <w:szCs w:val="24"/>
              </w:rPr>
              <w:t>(</w:t>
            </w:r>
            <w:proofErr w:type="gramStart"/>
            <w:r>
              <w:rPr>
                <w:rFonts w:ascii="Calibri" w:eastAsia="Calibri" w:hAnsi="Calibri" w:cs="Calibri"/>
                <w:b/>
                <w:sz w:val="24"/>
                <w:szCs w:val="24"/>
              </w:rPr>
              <w:t>dont</w:t>
            </w:r>
            <w:proofErr w:type="gramEnd"/>
            <w:r>
              <w:rPr>
                <w:rFonts w:ascii="Calibri" w:eastAsia="Calibri" w:hAnsi="Calibri" w:cs="Calibri"/>
                <w:b/>
                <w:sz w:val="24"/>
                <w:szCs w:val="24"/>
              </w:rPr>
              <w:t xml:space="preserve"> ressortissant.es de l'UE)</w:t>
            </w:r>
          </w:p>
        </w:tc>
      </w:tr>
      <w:tr w:rsidR="00175CF2" w14:paraId="33B72673" w14:textId="77777777">
        <w:trPr>
          <w:trHeight w:val="1020"/>
        </w:trPr>
        <w:tc>
          <w:tcPr>
            <w:tcW w:w="1560" w:type="dxa"/>
            <w:vMerge w:val="restart"/>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04DAF19" w14:textId="77777777" w:rsidR="00175CF2" w:rsidRDefault="002B433E">
            <w:pPr>
              <w:ind w:right="120"/>
              <w:jc w:val="center"/>
              <w:rPr>
                <w:rFonts w:ascii="Calibri" w:eastAsia="Calibri" w:hAnsi="Calibri" w:cs="Calibri"/>
                <w:b/>
                <w:sz w:val="24"/>
                <w:szCs w:val="24"/>
                <w:u w:val="single"/>
              </w:rPr>
            </w:pPr>
            <w:r>
              <w:rPr>
                <w:rFonts w:ascii="Calibri" w:eastAsia="Calibri" w:hAnsi="Calibri" w:cs="Calibri"/>
                <w:b/>
                <w:sz w:val="24"/>
                <w:szCs w:val="24"/>
                <w:u w:val="single"/>
              </w:rPr>
              <w:t>Corps d'accueil</w:t>
            </w:r>
          </w:p>
        </w:tc>
        <w:tc>
          <w:tcPr>
            <w:tcW w:w="1290" w:type="dxa"/>
            <w:tcBorders>
              <w:bottom w:val="single" w:sz="8" w:space="0" w:color="000000"/>
              <w:right w:val="single" w:sz="8" w:space="0" w:color="000000"/>
            </w:tcBorders>
            <w:shd w:val="clear" w:color="auto" w:fill="auto"/>
            <w:tcMar>
              <w:top w:w="100" w:type="dxa"/>
              <w:left w:w="80" w:type="dxa"/>
              <w:bottom w:w="100" w:type="dxa"/>
              <w:right w:w="80" w:type="dxa"/>
            </w:tcMar>
          </w:tcPr>
          <w:p w14:paraId="6F434A0A"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Prof. des écoles</w:t>
            </w:r>
          </w:p>
        </w:tc>
        <w:tc>
          <w:tcPr>
            <w:tcW w:w="3930" w:type="dxa"/>
            <w:tcBorders>
              <w:bottom w:val="single" w:sz="8" w:space="0" w:color="000000"/>
              <w:right w:val="single" w:sz="8" w:space="0" w:color="000000"/>
            </w:tcBorders>
            <w:shd w:val="clear" w:color="auto" w:fill="auto"/>
            <w:tcMar>
              <w:top w:w="100" w:type="dxa"/>
              <w:left w:w="80" w:type="dxa"/>
              <w:bottom w:w="100" w:type="dxa"/>
              <w:right w:w="80" w:type="dxa"/>
            </w:tcMar>
          </w:tcPr>
          <w:p w14:paraId="037C5A7F" w14:textId="77777777" w:rsidR="00175CF2" w:rsidRDefault="002B433E">
            <w:pPr>
              <w:ind w:left="141"/>
              <w:jc w:val="both"/>
              <w:rPr>
                <w:rFonts w:ascii="Calibri" w:eastAsia="Calibri" w:hAnsi="Calibri" w:cs="Calibri"/>
                <w:sz w:val="24"/>
                <w:szCs w:val="24"/>
              </w:rPr>
            </w:pPr>
            <w:r>
              <w:rPr>
                <w:rFonts w:ascii="Calibri" w:eastAsia="Calibri" w:hAnsi="Calibri" w:cs="Calibri"/>
                <w:sz w:val="24"/>
                <w:szCs w:val="24"/>
              </w:rPr>
              <w:t xml:space="preserve">Licence ou équivalent </w:t>
            </w:r>
          </w:p>
          <w:p w14:paraId="54A86D29" w14:textId="77777777" w:rsidR="00175CF2" w:rsidRDefault="002B433E">
            <w:pPr>
              <w:ind w:left="141"/>
              <w:jc w:val="both"/>
              <w:rPr>
                <w:rFonts w:ascii="Calibri" w:eastAsia="Calibri" w:hAnsi="Calibri" w:cs="Calibri"/>
                <w:sz w:val="24"/>
                <w:szCs w:val="24"/>
              </w:rPr>
            </w:pPr>
            <w:r>
              <w:rPr>
                <w:rFonts w:ascii="Calibri" w:eastAsia="Calibri" w:hAnsi="Calibri" w:cs="Calibri"/>
                <w:sz w:val="24"/>
                <w:szCs w:val="24"/>
              </w:rPr>
              <w:t>+ qualifications en natation et en secourisme</w:t>
            </w:r>
          </w:p>
        </w:tc>
        <w:tc>
          <w:tcPr>
            <w:tcW w:w="3960" w:type="dxa"/>
            <w:tcBorders>
              <w:bottom w:val="single" w:sz="8" w:space="0" w:color="000000"/>
              <w:right w:val="single" w:sz="8" w:space="0" w:color="000000"/>
            </w:tcBorders>
            <w:shd w:val="clear" w:color="auto" w:fill="auto"/>
            <w:tcMar>
              <w:top w:w="100" w:type="dxa"/>
              <w:left w:w="80" w:type="dxa"/>
              <w:bottom w:w="100" w:type="dxa"/>
              <w:right w:w="80" w:type="dxa"/>
            </w:tcMar>
          </w:tcPr>
          <w:p w14:paraId="5C70B27B"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 xml:space="preserve">Master 2 ou équivalent </w:t>
            </w:r>
          </w:p>
          <w:p w14:paraId="6A7C0ACC"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 qualifications en natation et en secourisme</w:t>
            </w:r>
          </w:p>
        </w:tc>
      </w:tr>
      <w:tr w:rsidR="00175CF2" w14:paraId="3757E4D9" w14:textId="77777777">
        <w:trPr>
          <w:trHeight w:val="1560"/>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AEAAA" w14:textId="77777777" w:rsidR="00175CF2" w:rsidRDefault="00175CF2">
            <w:pPr>
              <w:spacing w:line="240" w:lineRule="auto"/>
              <w:ind w:left="-300"/>
              <w:rPr>
                <w:rFonts w:ascii="Tahoma" w:eastAsia="Tahoma" w:hAnsi="Tahoma" w:cs="Tahoma"/>
                <w:sz w:val="28"/>
                <w:szCs w:val="28"/>
              </w:rPr>
            </w:pPr>
          </w:p>
        </w:tc>
        <w:tc>
          <w:tcPr>
            <w:tcW w:w="1290" w:type="dxa"/>
            <w:tcBorders>
              <w:bottom w:val="single" w:sz="8" w:space="0" w:color="000000"/>
              <w:right w:val="single" w:sz="8" w:space="0" w:color="000000"/>
            </w:tcBorders>
            <w:shd w:val="clear" w:color="auto" w:fill="auto"/>
            <w:tcMar>
              <w:top w:w="100" w:type="dxa"/>
              <w:left w:w="80" w:type="dxa"/>
              <w:bottom w:w="100" w:type="dxa"/>
              <w:right w:w="80" w:type="dxa"/>
            </w:tcMar>
          </w:tcPr>
          <w:p w14:paraId="191929EB"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Prof. agrégés</w:t>
            </w:r>
          </w:p>
        </w:tc>
        <w:tc>
          <w:tcPr>
            <w:tcW w:w="3930" w:type="dxa"/>
            <w:tcBorders>
              <w:bottom w:val="single" w:sz="8" w:space="0" w:color="000000"/>
              <w:right w:val="single" w:sz="8" w:space="0" w:color="000000"/>
            </w:tcBorders>
            <w:shd w:val="clear" w:color="auto" w:fill="auto"/>
            <w:tcMar>
              <w:top w:w="100" w:type="dxa"/>
              <w:left w:w="80" w:type="dxa"/>
              <w:bottom w:w="100" w:type="dxa"/>
              <w:right w:w="80" w:type="dxa"/>
            </w:tcMar>
          </w:tcPr>
          <w:p w14:paraId="7569CBA6"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Accès impossible au corps par détachement</w:t>
            </w:r>
          </w:p>
        </w:tc>
        <w:tc>
          <w:tcPr>
            <w:tcW w:w="3960" w:type="dxa"/>
            <w:tcBorders>
              <w:bottom w:val="single" w:sz="8" w:space="0" w:color="000000"/>
              <w:right w:val="single" w:sz="8" w:space="0" w:color="000000"/>
            </w:tcBorders>
            <w:shd w:val="clear" w:color="auto" w:fill="auto"/>
            <w:tcMar>
              <w:top w:w="100" w:type="dxa"/>
              <w:left w:w="80" w:type="dxa"/>
              <w:bottom w:w="100" w:type="dxa"/>
              <w:right w:w="80" w:type="dxa"/>
            </w:tcMar>
          </w:tcPr>
          <w:p w14:paraId="76B690BE"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Master 2 ou équivalent</w:t>
            </w:r>
          </w:p>
          <w:p w14:paraId="54DBC986"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 qualifications en sauvetage aquatique et en secourisme* pour l'EPS</w:t>
            </w:r>
          </w:p>
          <w:p w14:paraId="0ECF074E"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 xml:space="preserve"> </w:t>
            </w:r>
          </w:p>
        </w:tc>
      </w:tr>
      <w:tr w:rsidR="00175CF2" w14:paraId="31640929" w14:textId="77777777">
        <w:trPr>
          <w:trHeight w:val="750"/>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3246F" w14:textId="77777777" w:rsidR="00175CF2" w:rsidRDefault="00175CF2">
            <w:pPr>
              <w:spacing w:line="240" w:lineRule="auto"/>
              <w:ind w:left="-300"/>
              <w:rPr>
                <w:rFonts w:ascii="Tahoma" w:eastAsia="Tahoma" w:hAnsi="Tahoma" w:cs="Tahoma"/>
                <w:sz w:val="28"/>
                <w:szCs w:val="28"/>
              </w:rPr>
            </w:pPr>
          </w:p>
        </w:tc>
        <w:tc>
          <w:tcPr>
            <w:tcW w:w="1290" w:type="dxa"/>
            <w:tcBorders>
              <w:bottom w:val="single" w:sz="8" w:space="0" w:color="000000"/>
              <w:right w:val="single" w:sz="8" w:space="0" w:color="000000"/>
            </w:tcBorders>
            <w:shd w:val="clear" w:color="auto" w:fill="auto"/>
            <w:tcMar>
              <w:top w:w="100" w:type="dxa"/>
              <w:left w:w="80" w:type="dxa"/>
              <w:bottom w:w="100" w:type="dxa"/>
              <w:right w:w="80" w:type="dxa"/>
            </w:tcMar>
          </w:tcPr>
          <w:p w14:paraId="27C99ABB"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Prof. certifiés</w:t>
            </w:r>
          </w:p>
        </w:tc>
        <w:tc>
          <w:tcPr>
            <w:tcW w:w="3930" w:type="dxa"/>
            <w:tcBorders>
              <w:bottom w:val="single" w:sz="8" w:space="0" w:color="000000"/>
              <w:right w:val="single" w:sz="8" w:space="0" w:color="000000"/>
            </w:tcBorders>
            <w:shd w:val="clear" w:color="auto" w:fill="auto"/>
            <w:tcMar>
              <w:top w:w="100" w:type="dxa"/>
              <w:left w:w="80" w:type="dxa"/>
              <w:bottom w:w="100" w:type="dxa"/>
              <w:right w:w="80" w:type="dxa"/>
            </w:tcMar>
          </w:tcPr>
          <w:p w14:paraId="7C41BAB1"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Licence ou équivalent</w:t>
            </w:r>
          </w:p>
        </w:tc>
        <w:tc>
          <w:tcPr>
            <w:tcW w:w="3960" w:type="dxa"/>
            <w:tcBorders>
              <w:bottom w:val="single" w:sz="8" w:space="0" w:color="000000"/>
              <w:right w:val="single" w:sz="8" w:space="0" w:color="000000"/>
            </w:tcBorders>
            <w:shd w:val="clear" w:color="auto" w:fill="auto"/>
            <w:tcMar>
              <w:top w:w="100" w:type="dxa"/>
              <w:left w:w="80" w:type="dxa"/>
              <w:bottom w:w="100" w:type="dxa"/>
              <w:right w:w="80" w:type="dxa"/>
            </w:tcMar>
          </w:tcPr>
          <w:p w14:paraId="00A41270" w14:textId="77777777" w:rsidR="00175CF2" w:rsidRDefault="002B433E">
            <w:pPr>
              <w:ind w:left="135"/>
              <w:rPr>
                <w:rFonts w:ascii="Calibri" w:eastAsia="Calibri" w:hAnsi="Calibri" w:cs="Calibri"/>
                <w:sz w:val="24"/>
                <w:szCs w:val="24"/>
              </w:rPr>
            </w:pPr>
            <w:r>
              <w:rPr>
                <w:rFonts w:ascii="Calibri" w:eastAsia="Calibri" w:hAnsi="Calibri" w:cs="Calibri"/>
                <w:sz w:val="24"/>
                <w:szCs w:val="24"/>
              </w:rPr>
              <w:t>Master 2 ou équivalent</w:t>
            </w:r>
          </w:p>
        </w:tc>
      </w:tr>
      <w:tr w:rsidR="00175CF2" w14:paraId="2413D1E7" w14:textId="77777777">
        <w:trPr>
          <w:trHeight w:val="480"/>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045C1" w14:textId="77777777" w:rsidR="00175CF2" w:rsidRDefault="00175CF2">
            <w:pPr>
              <w:spacing w:line="240" w:lineRule="auto"/>
              <w:ind w:left="-300"/>
              <w:rPr>
                <w:rFonts w:ascii="Tahoma" w:eastAsia="Tahoma" w:hAnsi="Tahoma" w:cs="Tahoma"/>
                <w:sz w:val="28"/>
                <w:szCs w:val="28"/>
              </w:rPr>
            </w:pPr>
          </w:p>
        </w:tc>
        <w:tc>
          <w:tcPr>
            <w:tcW w:w="1290" w:type="dxa"/>
            <w:vMerge w:val="restart"/>
            <w:tcBorders>
              <w:bottom w:val="single" w:sz="8" w:space="0" w:color="000000"/>
              <w:right w:val="single" w:sz="8" w:space="0" w:color="000000"/>
            </w:tcBorders>
            <w:shd w:val="clear" w:color="auto" w:fill="auto"/>
            <w:tcMar>
              <w:top w:w="100" w:type="dxa"/>
              <w:left w:w="80" w:type="dxa"/>
              <w:bottom w:w="100" w:type="dxa"/>
              <w:right w:w="80" w:type="dxa"/>
            </w:tcMar>
          </w:tcPr>
          <w:p w14:paraId="1C40FCFB"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PLP</w:t>
            </w:r>
          </w:p>
        </w:tc>
        <w:tc>
          <w:tcPr>
            <w:tcW w:w="7890" w:type="dxa"/>
            <w:gridSpan w:val="2"/>
            <w:tcBorders>
              <w:right w:val="single" w:sz="8" w:space="0" w:color="000000"/>
            </w:tcBorders>
            <w:shd w:val="clear" w:color="auto" w:fill="auto"/>
            <w:tcMar>
              <w:top w:w="100" w:type="dxa"/>
              <w:left w:w="80" w:type="dxa"/>
              <w:bottom w:w="100" w:type="dxa"/>
              <w:right w:w="80" w:type="dxa"/>
            </w:tcMar>
          </w:tcPr>
          <w:p w14:paraId="0435EEB9" w14:textId="77777777" w:rsidR="00175CF2" w:rsidRDefault="002B433E">
            <w:pPr>
              <w:ind w:left="141"/>
              <w:jc w:val="center"/>
              <w:rPr>
                <w:rFonts w:ascii="Calibri" w:eastAsia="Calibri" w:hAnsi="Calibri" w:cs="Calibri"/>
                <w:sz w:val="24"/>
                <w:szCs w:val="24"/>
              </w:rPr>
            </w:pPr>
            <w:r>
              <w:rPr>
                <w:rFonts w:ascii="Calibri" w:eastAsia="Calibri" w:hAnsi="Calibri" w:cs="Calibri"/>
                <w:b/>
                <w:sz w:val="24"/>
                <w:szCs w:val="24"/>
              </w:rPr>
              <w:t>Pour l'enseignement général</w:t>
            </w:r>
            <w:r>
              <w:rPr>
                <w:rFonts w:ascii="Calibri" w:eastAsia="Calibri" w:hAnsi="Calibri" w:cs="Calibri"/>
                <w:sz w:val="24"/>
                <w:szCs w:val="24"/>
              </w:rPr>
              <w:t xml:space="preserve"> :</w:t>
            </w:r>
          </w:p>
        </w:tc>
      </w:tr>
      <w:tr w:rsidR="00175CF2" w14:paraId="60B538BC" w14:textId="77777777">
        <w:trPr>
          <w:trHeight w:val="735"/>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84238" w14:textId="77777777" w:rsidR="00175CF2" w:rsidRDefault="00175CF2">
            <w:pPr>
              <w:spacing w:line="240" w:lineRule="auto"/>
              <w:ind w:left="-300"/>
              <w:rPr>
                <w:rFonts w:ascii="Tahoma" w:eastAsia="Tahoma" w:hAnsi="Tahoma" w:cs="Tahoma"/>
                <w:sz w:val="28"/>
                <w:szCs w:val="28"/>
              </w:rPr>
            </w:pPr>
          </w:p>
        </w:tc>
        <w:tc>
          <w:tcPr>
            <w:tcW w:w="12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5C113C4" w14:textId="77777777" w:rsidR="00175CF2" w:rsidRDefault="00175CF2">
            <w:pPr>
              <w:spacing w:line="240" w:lineRule="auto"/>
              <w:ind w:left="-300"/>
              <w:rPr>
                <w:rFonts w:ascii="Tahoma" w:eastAsia="Tahoma" w:hAnsi="Tahoma" w:cs="Tahoma"/>
                <w:sz w:val="28"/>
                <w:szCs w:val="28"/>
              </w:rPr>
            </w:pPr>
          </w:p>
        </w:tc>
        <w:tc>
          <w:tcPr>
            <w:tcW w:w="3930" w:type="dxa"/>
            <w:tcBorders>
              <w:bottom w:val="single" w:sz="8" w:space="0" w:color="000000"/>
              <w:right w:val="single" w:sz="8" w:space="0" w:color="000000"/>
            </w:tcBorders>
            <w:shd w:val="clear" w:color="auto" w:fill="auto"/>
            <w:tcMar>
              <w:top w:w="100" w:type="dxa"/>
              <w:left w:w="80" w:type="dxa"/>
              <w:bottom w:w="100" w:type="dxa"/>
              <w:right w:w="80" w:type="dxa"/>
            </w:tcMar>
          </w:tcPr>
          <w:p w14:paraId="3B203399"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Licence ou équivalent.</w:t>
            </w:r>
          </w:p>
          <w:p w14:paraId="5D6855EA" w14:textId="77777777" w:rsidR="00175CF2" w:rsidRDefault="002B433E">
            <w:pPr>
              <w:ind w:left="-240"/>
              <w:rPr>
                <w:rFonts w:ascii="Calibri" w:eastAsia="Calibri" w:hAnsi="Calibri" w:cs="Calibri"/>
                <w:sz w:val="24"/>
                <w:szCs w:val="24"/>
              </w:rPr>
            </w:pPr>
            <w:r>
              <w:rPr>
                <w:rFonts w:ascii="Calibri" w:eastAsia="Calibri" w:hAnsi="Calibri" w:cs="Calibri"/>
                <w:sz w:val="24"/>
                <w:szCs w:val="24"/>
              </w:rPr>
              <w:t xml:space="preserve"> </w:t>
            </w:r>
          </w:p>
        </w:tc>
        <w:tc>
          <w:tcPr>
            <w:tcW w:w="3960" w:type="dxa"/>
            <w:tcBorders>
              <w:bottom w:val="single" w:sz="8" w:space="0" w:color="000000"/>
              <w:right w:val="single" w:sz="8" w:space="0" w:color="000000"/>
            </w:tcBorders>
            <w:shd w:val="clear" w:color="auto" w:fill="auto"/>
            <w:tcMar>
              <w:top w:w="100" w:type="dxa"/>
              <w:left w:w="80" w:type="dxa"/>
              <w:bottom w:w="100" w:type="dxa"/>
              <w:right w:w="80" w:type="dxa"/>
            </w:tcMar>
          </w:tcPr>
          <w:p w14:paraId="06B4C9FA"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Master 2 ou équivalent.</w:t>
            </w:r>
          </w:p>
        </w:tc>
      </w:tr>
      <w:tr w:rsidR="00175CF2" w14:paraId="0AA7DA14" w14:textId="77777777">
        <w:trPr>
          <w:trHeight w:val="1560"/>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E77FD" w14:textId="77777777" w:rsidR="00175CF2" w:rsidRDefault="00175CF2">
            <w:pPr>
              <w:spacing w:line="240" w:lineRule="auto"/>
              <w:ind w:left="-300"/>
              <w:rPr>
                <w:rFonts w:ascii="Tahoma" w:eastAsia="Tahoma" w:hAnsi="Tahoma" w:cs="Tahoma"/>
                <w:sz w:val="28"/>
                <w:szCs w:val="28"/>
              </w:rPr>
            </w:pPr>
          </w:p>
        </w:tc>
        <w:tc>
          <w:tcPr>
            <w:tcW w:w="12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5DE9C6" w14:textId="77777777" w:rsidR="00175CF2" w:rsidRDefault="00175CF2">
            <w:pPr>
              <w:spacing w:line="240" w:lineRule="auto"/>
              <w:ind w:left="-300"/>
              <w:rPr>
                <w:rFonts w:ascii="Tahoma" w:eastAsia="Tahoma" w:hAnsi="Tahoma" w:cs="Tahoma"/>
                <w:sz w:val="28"/>
                <w:szCs w:val="28"/>
              </w:rPr>
            </w:pPr>
          </w:p>
        </w:tc>
        <w:tc>
          <w:tcPr>
            <w:tcW w:w="7890" w:type="dxa"/>
            <w:gridSpan w:val="2"/>
            <w:tcBorders>
              <w:right w:val="single" w:sz="8" w:space="0" w:color="000000"/>
            </w:tcBorders>
            <w:shd w:val="clear" w:color="auto" w:fill="auto"/>
            <w:tcMar>
              <w:top w:w="100" w:type="dxa"/>
              <w:left w:w="80" w:type="dxa"/>
              <w:bottom w:w="100" w:type="dxa"/>
              <w:right w:w="80" w:type="dxa"/>
            </w:tcMar>
          </w:tcPr>
          <w:p w14:paraId="71DE01A1" w14:textId="77777777" w:rsidR="00175CF2" w:rsidRDefault="002B433E">
            <w:pPr>
              <w:ind w:left="141"/>
              <w:jc w:val="center"/>
              <w:rPr>
                <w:rFonts w:ascii="Calibri" w:eastAsia="Calibri" w:hAnsi="Calibri" w:cs="Calibri"/>
                <w:b/>
                <w:sz w:val="24"/>
                <w:szCs w:val="24"/>
              </w:rPr>
            </w:pPr>
            <w:r>
              <w:rPr>
                <w:rFonts w:ascii="Calibri" w:eastAsia="Calibri" w:hAnsi="Calibri" w:cs="Calibri"/>
                <w:b/>
                <w:sz w:val="24"/>
                <w:szCs w:val="24"/>
              </w:rPr>
              <w:t>Pour les spécialités professionnelles :</w:t>
            </w:r>
          </w:p>
          <w:p w14:paraId="6CF1803C"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xml:space="preserve">Diplôme de niveau 5 (Bac + 2) + 5 ans de pratique professionnelle ou d’enseignement dans la discipline concernée </w:t>
            </w:r>
          </w:p>
          <w:p w14:paraId="07D17CA7" w14:textId="77777777" w:rsidR="00175CF2" w:rsidRDefault="002B433E">
            <w:pPr>
              <w:ind w:left="141"/>
              <w:rPr>
                <w:rFonts w:ascii="Calibri" w:eastAsia="Calibri" w:hAnsi="Calibri" w:cs="Calibri"/>
                <w:sz w:val="24"/>
                <w:szCs w:val="24"/>
              </w:rPr>
            </w:pPr>
            <w:proofErr w:type="gramStart"/>
            <w:r>
              <w:rPr>
                <w:rFonts w:ascii="Calibri" w:eastAsia="Calibri" w:hAnsi="Calibri" w:cs="Calibri"/>
                <w:b/>
                <w:sz w:val="24"/>
                <w:szCs w:val="24"/>
              </w:rPr>
              <w:t>ou</w:t>
            </w:r>
            <w:proofErr w:type="gramEnd"/>
            <w:r>
              <w:rPr>
                <w:rFonts w:ascii="Calibri" w:eastAsia="Calibri" w:hAnsi="Calibri" w:cs="Calibri"/>
                <w:b/>
                <w:sz w:val="24"/>
                <w:szCs w:val="24"/>
              </w:rPr>
              <w:t>,</w:t>
            </w:r>
            <w:r>
              <w:rPr>
                <w:rFonts w:ascii="Calibri" w:eastAsia="Calibri" w:hAnsi="Calibri" w:cs="Calibri"/>
                <w:sz w:val="24"/>
                <w:szCs w:val="24"/>
              </w:rPr>
              <w:t xml:space="preserve"> pour les spécialités où il n'existe pas de diplôme supérieur au niveau 4, diplôme de niveau 4 (Bac</w:t>
            </w:r>
            <w:r>
              <w:rPr>
                <w:rFonts w:ascii="Calibri" w:eastAsia="Calibri" w:hAnsi="Calibri" w:cs="Calibri"/>
                <w:sz w:val="24"/>
                <w:szCs w:val="24"/>
              </w:rPr>
              <w:t>) + 7 ans de pratique professionnelle</w:t>
            </w:r>
          </w:p>
        </w:tc>
      </w:tr>
      <w:tr w:rsidR="00175CF2" w14:paraId="5F215FEA" w14:textId="77777777">
        <w:trPr>
          <w:trHeight w:val="1275"/>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5E8B6" w14:textId="77777777" w:rsidR="00175CF2" w:rsidRDefault="00175CF2">
            <w:pPr>
              <w:spacing w:line="240" w:lineRule="auto"/>
              <w:ind w:left="-300"/>
              <w:rPr>
                <w:rFonts w:ascii="Tahoma" w:eastAsia="Tahoma" w:hAnsi="Tahoma" w:cs="Tahoma"/>
                <w:sz w:val="28"/>
                <w:szCs w:val="28"/>
              </w:rPr>
            </w:pPr>
          </w:p>
        </w:tc>
        <w:tc>
          <w:tcPr>
            <w:tcW w:w="1290" w:type="dxa"/>
            <w:tcBorders>
              <w:bottom w:val="single" w:sz="8" w:space="0" w:color="000000"/>
              <w:right w:val="single" w:sz="8" w:space="0" w:color="000000"/>
            </w:tcBorders>
            <w:shd w:val="clear" w:color="auto" w:fill="auto"/>
            <w:tcMar>
              <w:top w:w="100" w:type="dxa"/>
              <w:left w:w="80" w:type="dxa"/>
              <w:bottom w:w="100" w:type="dxa"/>
              <w:right w:w="80" w:type="dxa"/>
            </w:tcMar>
          </w:tcPr>
          <w:p w14:paraId="349D77D8"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Prof. d'EPS</w:t>
            </w:r>
          </w:p>
        </w:tc>
        <w:tc>
          <w:tcPr>
            <w:tcW w:w="3930"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80B5843"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xml:space="preserve">Licence Staps ou équivalent </w:t>
            </w:r>
          </w:p>
          <w:p w14:paraId="0645BE10"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qualifications en sauvetage aquatique et en secourisme*</w:t>
            </w:r>
          </w:p>
        </w:tc>
        <w:tc>
          <w:tcPr>
            <w:tcW w:w="3960" w:type="dxa"/>
            <w:tcBorders>
              <w:bottom w:val="single" w:sz="8" w:space="0" w:color="000000"/>
              <w:right w:val="single" w:sz="8" w:space="0" w:color="000000"/>
            </w:tcBorders>
            <w:shd w:val="clear" w:color="auto" w:fill="auto"/>
            <w:tcMar>
              <w:top w:w="100" w:type="dxa"/>
              <w:left w:w="80" w:type="dxa"/>
              <w:bottom w:w="100" w:type="dxa"/>
              <w:right w:w="80" w:type="dxa"/>
            </w:tcMar>
          </w:tcPr>
          <w:p w14:paraId="3C99165F"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xml:space="preserve">Master 2 ou équivalent </w:t>
            </w:r>
          </w:p>
          <w:p w14:paraId="57FC1AF1"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xml:space="preserve">+ licence Staps ou équivalent </w:t>
            </w:r>
          </w:p>
          <w:p w14:paraId="7DA286FC"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qualifications en sauvetage aquatique et en secourisme*</w:t>
            </w:r>
          </w:p>
        </w:tc>
      </w:tr>
      <w:tr w:rsidR="00175CF2" w14:paraId="166481E3" w14:textId="77777777">
        <w:trPr>
          <w:trHeight w:val="1560"/>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98347" w14:textId="77777777" w:rsidR="00175CF2" w:rsidRDefault="00175CF2">
            <w:pPr>
              <w:spacing w:line="240" w:lineRule="auto"/>
              <w:ind w:left="-300"/>
              <w:rPr>
                <w:rFonts w:ascii="Tahoma" w:eastAsia="Tahoma" w:hAnsi="Tahoma" w:cs="Tahoma"/>
                <w:sz w:val="28"/>
                <w:szCs w:val="28"/>
              </w:rPr>
            </w:pPr>
          </w:p>
        </w:tc>
        <w:tc>
          <w:tcPr>
            <w:tcW w:w="1290" w:type="dxa"/>
            <w:tcBorders>
              <w:bottom w:val="single" w:sz="8" w:space="0" w:color="000000"/>
              <w:right w:val="single" w:sz="8" w:space="0" w:color="000000"/>
            </w:tcBorders>
            <w:shd w:val="clear" w:color="auto" w:fill="auto"/>
            <w:tcMar>
              <w:top w:w="100" w:type="dxa"/>
              <w:left w:w="80" w:type="dxa"/>
              <w:bottom w:w="100" w:type="dxa"/>
              <w:right w:w="80" w:type="dxa"/>
            </w:tcMar>
          </w:tcPr>
          <w:p w14:paraId="50DE0A84"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CPE</w:t>
            </w:r>
          </w:p>
        </w:tc>
        <w:tc>
          <w:tcPr>
            <w:tcW w:w="3930" w:type="dxa"/>
            <w:tcBorders>
              <w:bottom w:val="single" w:sz="8" w:space="0" w:color="000000"/>
              <w:right w:val="single" w:sz="8" w:space="0" w:color="000000"/>
            </w:tcBorders>
            <w:shd w:val="clear" w:color="auto" w:fill="auto"/>
            <w:tcMar>
              <w:top w:w="100" w:type="dxa"/>
              <w:left w:w="80" w:type="dxa"/>
              <w:bottom w:w="100" w:type="dxa"/>
              <w:right w:w="80" w:type="dxa"/>
            </w:tcMar>
          </w:tcPr>
          <w:p w14:paraId="71464DFB"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Licence ou équivalent.</w:t>
            </w:r>
          </w:p>
          <w:p w14:paraId="312A82D5"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Aucune condition de titre ou diplôme n'est exigée pour les professeurs de lycée professionnel.</w:t>
            </w:r>
          </w:p>
        </w:tc>
        <w:tc>
          <w:tcPr>
            <w:tcW w:w="3960" w:type="dxa"/>
            <w:tcBorders>
              <w:bottom w:val="single" w:sz="8" w:space="0" w:color="000000"/>
              <w:right w:val="single" w:sz="8" w:space="0" w:color="000000"/>
            </w:tcBorders>
            <w:shd w:val="clear" w:color="auto" w:fill="auto"/>
            <w:tcMar>
              <w:top w:w="100" w:type="dxa"/>
              <w:left w:w="80" w:type="dxa"/>
              <w:bottom w:w="100" w:type="dxa"/>
              <w:right w:w="80" w:type="dxa"/>
            </w:tcMar>
          </w:tcPr>
          <w:p w14:paraId="46E9E78A"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Master 2 ou équivalent</w:t>
            </w:r>
          </w:p>
        </w:tc>
      </w:tr>
      <w:tr w:rsidR="00175CF2" w14:paraId="3BD15B31" w14:textId="77777777">
        <w:trPr>
          <w:trHeight w:val="1020"/>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79265" w14:textId="77777777" w:rsidR="00175CF2" w:rsidRDefault="00175CF2">
            <w:pPr>
              <w:spacing w:line="240" w:lineRule="auto"/>
              <w:ind w:left="-300"/>
              <w:rPr>
                <w:rFonts w:ascii="Tahoma" w:eastAsia="Tahoma" w:hAnsi="Tahoma" w:cs="Tahoma"/>
                <w:sz w:val="28"/>
                <w:szCs w:val="28"/>
              </w:rPr>
            </w:pPr>
          </w:p>
        </w:tc>
        <w:tc>
          <w:tcPr>
            <w:tcW w:w="1290" w:type="dxa"/>
            <w:tcBorders>
              <w:bottom w:val="single" w:sz="8" w:space="0" w:color="000000"/>
              <w:right w:val="single" w:sz="8" w:space="0" w:color="000000"/>
            </w:tcBorders>
            <w:shd w:val="clear" w:color="auto" w:fill="auto"/>
            <w:tcMar>
              <w:top w:w="100" w:type="dxa"/>
              <w:left w:w="80" w:type="dxa"/>
              <w:bottom w:w="100" w:type="dxa"/>
              <w:right w:w="80" w:type="dxa"/>
            </w:tcMar>
          </w:tcPr>
          <w:p w14:paraId="7117F79E" w14:textId="77777777" w:rsidR="00175CF2" w:rsidRDefault="002B433E">
            <w:pPr>
              <w:jc w:val="center"/>
              <w:rPr>
                <w:rFonts w:ascii="Calibri" w:eastAsia="Calibri" w:hAnsi="Calibri" w:cs="Calibri"/>
                <w:b/>
                <w:sz w:val="24"/>
                <w:szCs w:val="24"/>
              </w:rPr>
            </w:pPr>
            <w:proofErr w:type="spellStart"/>
            <w:r>
              <w:rPr>
                <w:rFonts w:ascii="Calibri" w:eastAsia="Calibri" w:hAnsi="Calibri" w:cs="Calibri"/>
                <w:b/>
                <w:sz w:val="24"/>
                <w:szCs w:val="24"/>
              </w:rPr>
              <w:t>PsyEN</w:t>
            </w:r>
            <w:proofErr w:type="spellEnd"/>
          </w:p>
        </w:tc>
        <w:tc>
          <w:tcPr>
            <w:tcW w:w="7890" w:type="dxa"/>
            <w:gridSpan w:val="2"/>
            <w:tcBorders>
              <w:bottom w:val="single" w:sz="8" w:space="0" w:color="000000"/>
              <w:right w:val="single" w:sz="8" w:space="0" w:color="000000"/>
            </w:tcBorders>
            <w:shd w:val="clear" w:color="auto" w:fill="auto"/>
            <w:tcMar>
              <w:top w:w="100" w:type="dxa"/>
              <w:left w:w="80" w:type="dxa"/>
              <w:bottom w:w="100" w:type="dxa"/>
              <w:right w:w="80" w:type="dxa"/>
            </w:tcMar>
          </w:tcPr>
          <w:p w14:paraId="3F835AD0"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xml:space="preserve">Licence en psychologie </w:t>
            </w:r>
          </w:p>
          <w:p w14:paraId="2D3FC57D" w14:textId="77777777" w:rsidR="00175CF2" w:rsidRDefault="002B433E">
            <w:pPr>
              <w:ind w:left="141"/>
              <w:rPr>
                <w:rFonts w:ascii="Calibri" w:eastAsia="Calibri" w:hAnsi="Calibri" w:cs="Calibri"/>
                <w:sz w:val="24"/>
                <w:szCs w:val="24"/>
              </w:rPr>
            </w:pPr>
            <w:r>
              <w:rPr>
                <w:rFonts w:ascii="Calibri" w:eastAsia="Calibri" w:hAnsi="Calibri" w:cs="Calibri"/>
                <w:sz w:val="24"/>
                <w:szCs w:val="24"/>
              </w:rPr>
              <w:t xml:space="preserve">+ Master 2 de psychologie comportant un stage professionnel de 500 heures (14 semaines) </w:t>
            </w:r>
          </w:p>
          <w:p w14:paraId="028823C8" w14:textId="77777777" w:rsidR="00175CF2" w:rsidRDefault="002B433E">
            <w:pPr>
              <w:ind w:left="141"/>
              <w:rPr>
                <w:rFonts w:ascii="Calibri" w:eastAsia="Calibri" w:hAnsi="Calibri" w:cs="Calibri"/>
                <w:sz w:val="24"/>
                <w:szCs w:val="24"/>
              </w:rPr>
            </w:pPr>
            <w:proofErr w:type="gramStart"/>
            <w:r>
              <w:rPr>
                <w:rFonts w:ascii="Calibri" w:eastAsia="Calibri" w:hAnsi="Calibri" w:cs="Calibri"/>
                <w:b/>
                <w:sz w:val="24"/>
                <w:szCs w:val="24"/>
              </w:rPr>
              <w:t>ou</w:t>
            </w:r>
            <w:proofErr w:type="gramEnd"/>
            <w:r>
              <w:rPr>
                <w:rFonts w:ascii="Calibri" w:eastAsia="Calibri" w:hAnsi="Calibri" w:cs="Calibri"/>
                <w:b/>
                <w:sz w:val="24"/>
                <w:szCs w:val="24"/>
              </w:rPr>
              <w:t xml:space="preserve"> </w:t>
            </w:r>
            <w:r>
              <w:rPr>
                <w:rFonts w:ascii="Calibri" w:eastAsia="Calibri" w:hAnsi="Calibri" w:cs="Calibri"/>
                <w:sz w:val="24"/>
                <w:szCs w:val="24"/>
              </w:rPr>
              <w:t>diplôme dont la liste figure dans le décret n° 90-255 du 22 mars 1990</w:t>
            </w:r>
          </w:p>
        </w:tc>
      </w:tr>
    </w:tbl>
    <w:p w14:paraId="69A42EBB"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Les candidat.es titulaires d'un diplôme obtenu à l'étranger doivent fournir une attestation de comparabilité délivrée par France Éducation International (cf. 3 de la présente note de service). </w:t>
      </w:r>
    </w:p>
    <w:p w14:paraId="5AA1BB29"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0995FE12"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Arrêté du 12 février 2019 fixant les titres, diplômes, attestations ou qualifications équivalentes admis pour justifier des qualifications en sauvetage aquatique et en secourisme requises des personnels relevant du ministre chargé de l'éducation national</w:t>
      </w:r>
      <w:r>
        <w:rPr>
          <w:rFonts w:ascii="Calibri" w:eastAsia="Calibri" w:hAnsi="Calibri" w:cs="Calibri"/>
          <w:sz w:val="24"/>
          <w:szCs w:val="24"/>
        </w:rPr>
        <w:t>e et assurant l'enseignement de l'éducation physique et sportive dans le 2d degré</w:t>
      </w:r>
    </w:p>
    <w:p w14:paraId="5A40BAC6"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004A2DA7" w14:textId="77777777" w:rsidR="00175CF2" w:rsidRDefault="002B433E">
      <w:pPr>
        <w:jc w:val="both"/>
        <w:rPr>
          <w:rFonts w:ascii="Calibri" w:eastAsia="Calibri" w:hAnsi="Calibri" w:cs="Calibri"/>
          <w:b/>
          <w:sz w:val="24"/>
          <w:szCs w:val="24"/>
        </w:rPr>
      </w:pPr>
      <w:r>
        <w:rPr>
          <w:rFonts w:ascii="Calibri" w:eastAsia="Calibri" w:hAnsi="Calibri" w:cs="Calibri"/>
          <w:b/>
          <w:sz w:val="24"/>
          <w:szCs w:val="24"/>
        </w:rPr>
        <w:t xml:space="preserve">La note de service insiste sur le fait que certaines demandes de détachement doivent faire l’objet d’un « examen attentif de la part des recteurs et des IA-DASEN » : </w:t>
      </w:r>
    </w:p>
    <w:p w14:paraId="38C60C7A" w14:textId="77777777" w:rsidR="00175CF2" w:rsidRDefault="002B433E">
      <w:pPr>
        <w:ind w:left="1080" w:hanging="360"/>
        <w:jc w:val="both"/>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les demandes qui s’inscrivent dans le cadre d’une reconversion professionnelle pour inaptitude aux fonctions ;</w:t>
      </w:r>
    </w:p>
    <w:p w14:paraId="20D96FA0" w14:textId="77777777" w:rsidR="00175CF2" w:rsidRDefault="002B433E">
      <w:pPr>
        <w:ind w:left="1080" w:hanging="360"/>
        <w:jc w:val="both"/>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les demandes faites par les </w:t>
      </w:r>
      <w:hyperlink r:id="rId12">
        <w:r>
          <w:rPr>
            <w:rFonts w:ascii="Calibri" w:eastAsia="Calibri" w:hAnsi="Calibri" w:cs="Calibri"/>
            <w:color w:val="1155CC"/>
            <w:sz w:val="24"/>
            <w:szCs w:val="24"/>
            <w:u w:val="single"/>
          </w:rPr>
          <w:t>bénéficiaires de l’o</w:t>
        </w:r>
        <w:r>
          <w:rPr>
            <w:rFonts w:ascii="Calibri" w:eastAsia="Calibri" w:hAnsi="Calibri" w:cs="Calibri"/>
            <w:color w:val="1155CC"/>
            <w:sz w:val="24"/>
            <w:szCs w:val="24"/>
            <w:u w:val="single"/>
          </w:rPr>
          <w:t>bligation d’emploi</w:t>
        </w:r>
      </w:hyperlink>
      <w:r>
        <w:rPr>
          <w:rFonts w:ascii="Calibri" w:eastAsia="Calibri" w:hAnsi="Calibri" w:cs="Calibri"/>
          <w:sz w:val="24"/>
          <w:szCs w:val="24"/>
        </w:rPr>
        <w:t>, RQTH entre autres.</w:t>
      </w:r>
    </w:p>
    <w:p w14:paraId="509C240B" w14:textId="77777777" w:rsidR="00175CF2" w:rsidRDefault="00175CF2">
      <w:pPr>
        <w:ind w:left="1080" w:hanging="360"/>
        <w:jc w:val="both"/>
        <w:rPr>
          <w:rFonts w:ascii="Calibri" w:eastAsia="Calibri" w:hAnsi="Calibri" w:cs="Calibri"/>
          <w:sz w:val="24"/>
          <w:szCs w:val="24"/>
        </w:rPr>
      </w:pPr>
    </w:p>
    <w:p w14:paraId="111F8873" w14:textId="77777777" w:rsidR="00175CF2" w:rsidRDefault="002B433E">
      <w:pPr>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1C25E13" w14:textId="77777777" w:rsidR="00175CF2" w:rsidRDefault="002B433E">
      <w:pPr>
        <w:numPr>
          <w:ilvl w:val="0"/>
          <w:numId w:val="11"/>
        </w:numPr>
        <w:jc w:val="both"/>
        <w:rPr>
          <w:rFonts w:ascii="Tahoma" w:eastAsia="Tahoma" w:hAnsi="Tahoma" w:cs="Tahoma"/>
          <w:sz w:val="28"/>
          <w:szCs w:val="28"/>
        </w:rPr>
      </w:pPr>
      <w:r>
        <w:rPr>
          <w:rFonts w:ascii="Calibri" w:eastAsia="Calibri" w:hAnsi="Calibri" w:cs="Calibri"/>
          <w:b/>
          <w:sz w:val="24"/>
          <w:szCs w:val="24"/>
          <w:u w:val="single"/>
        </w:rPr>
        <w:t>Procédures</w:t>
      </w:r>
    </w:p>
    <w:p w14:paraId="189FBE85" w14:textId="77777777" w:rsidR="00175CF2" w:rsidRDefault="002B433E">
      <w:pPr>
        <w:jc w:val="both"/>
        <w:rPr>
          <w:rFonts w:ascii="Calibri" w:eastAsia="Calibri" w:hAnsi="Calibri" w:cs="Calibri"/>
          <w:b/>
          <w:sz w:val="24"/>
          <w:szCs w:val="24"/>
        </w:rPr>
      </w:pPr>
      <w:r>
        <w:rPr>
          <w:rFonts w:ascii="Calibri" w:eastAsia="Calibri" w:hAnsi="Calibri" w:cs="Calibri"/>
          <w:b/>
          <w:sz w:val="24"/>
          <w:szCs w:val="24"/>
        </w:rPr>
        <w:t xml:space="preserve">Les </w:t>
      </w:r>
      <w:proofErr w:type="spellStart"/>
      <w:r>
        <w:rPr>
          <w:rFonts w:ascii="Calibri" w:eastAsia="Calibri" w:hAnsi="Calibri" w:cs="Calibri"/>
          <w:b/>
          <w:sz w:val="24"/>
          <w:szCs w:val="24"/>
        </w:rPr>
        <w:t>candidat·es</w:t>
      </w:r>
      <w:proofErr w:type="spellEnd"/>
      <w:r>
        <w:rPr>
          <w:rFonts w:ascii="Calibri" w:eastAsia="Calibri" w:hAnsi="Calibri" w:cs="Calibri"/>
          <w:b/>
          <w:sz w:val="24"/>
          <w:szCs w:val="24"/>
        </w:rPr>
        <w:t xml:space="preserve"> au détachement saisissent leur candidature uniquement en ligne, dans l'application </w:t>
      </w:r>
      <w:hyperlink r:id="rId13">
        <w:r>
          <w:rPr>
            <w:rFonts w:ascii="Calibri" w:eastAsia="Calibri" w:hAnsi="Calibri" w:cs="Calibri"/>
            <w:b/>
            <w:color w:val="1155CC"/>
            <w:sz w:val="24"/>
            <w:szCs w:val="24"/>
            <w:u w:val="single"/>
          </w:rPr>
          <w:t>Pegase</w:t>
        </w:r>
      </w:hyperlink>
      <w:r>
        <w:rPr>
          <w:rFonts w:ascii="Calibri" w:eastAsia="Calibri" w:hAnsi="Calibri" w:cs="Calibri"/>
          <w:b/>
          <w:sz w:val="24"/>
          <w:szCs w:val="24"/>
        </w:rPr>
        <w:t xml:space="preserve"> (</w:t>
      </w:r>
      <w:hyperlink r:id="rId14">
        <w:r>
          <w:rPr>
            <w:rFonts w:ascii="Calibri" w:eastAsia="Calibri" w:hAnsi="Calibri" w:cs="Calibri"/>
            <w:b/>
            <w:color w:val="1155CC"/>
            <w:sz w:val="24"/>
            <w:szCs w:val="24"/>
            <w:u w:val="single"/>
          </w:rPr>
          <w:t>https://i-dgrh2-app.adc.education.fr/pegase</w:t>
        </w:r>
      </w:hyperlink>
      <w:r>
        <w:rPr>
          <w:rFonts w:ascii="Calibri" w:eastAsia="Calibri" w:hAnsi="Calibri" w:cs="Calibri"/>
          <w:b/>
          <w:sz w:val="24"/>
          <w:szCs w:val="24"/>
        </w:rPr>
        <w:t>).</w:t>
      </w:r>
    </w:p>
    <w:p w14:paraId="435CAFF6" w14:textId="77777777" w:rsidR="00175CF2" w:rsidRDefault="002B433E">
      <w:pPr>
        <w:jc w:val="both"/>
        <w:rPr>
          <w:rFonts w:ascii="Roboto" w:eastAsia="Roboto" w:hAnsi="Roboto" w:cs="Roboto"/>
          <w:b/>
          <w:sz w:val="21"/>
          <w:szCs w:val="21"/>
        </w:rPr>
      </w:pPr>
      <w:r>
        <w:rPr>
          <w:rFonts w:ascii="Roboto" w:eastAsia="Roboto" w:hAnsi="Roboto" w:cs="Roboto"/>
          <w:b/>
          <w:sz w:val="21"/>
          <w:szCs w:val="21"/>
          <w:u w:val="single"/>
        </w:rPr>
        <w:t>ATTENTION</w:t>
      </w:r>
      <w:r>
        <w:rPr>
          <w:rFonts w:ascii="Roboto" w:eastAsia="Roboto" w:hAnsi="Roboto" w:cs="Roboto"/>
          <w:b/>
          <w:sz w:val="21"/>
          <w:szCs w:val="21"/>
        </w:rPr>
        <w:t xml:space="preserve"> : Les candidats sont invités à prendre l’attache des services déconcentrés pour toute demande d’information relative au dispositif de détac</w:t>
      </w:r>
      <w:r>
        <w:rPr>
          <w:rFonts w:ascii="Roboto" w:eastAsia="Roboto" w:hAnsi="Roboto" w:cs="Roboto"/>
          <w:b/>
          <w:sz w:val="21"/>
          <w:szCs w:val="21"/>
        </w:rPr>
        <w:t xml:space="preserve">hement ou toute modification de dossier saisi dans l’application. </w:t>
      </w:r>
    </w:p>
    <w:p w14:paraId="55D75153" w14:textId="77777777" w:rsidR="00175CF2" w:rsidRDefault="002B433E">
      <w:pPr>
        <w:jc w:val="both"/>
        <w:rPr>
          <w:rFonts w:ascii="Roboto" w:eastAsia="Roboto" w:hAnsi="Roboto" w:cs="Roboto"/>
          <w:b/>
          <w:sz w:val="21"/>
          <w:szCs w:val="21"/>
        </w:rPr>
      </w:pPr>
      <w:r>
        <w:rPr>
          <w:rFonts w:ascii="Roboto" w:eastAsia="Roboto" w:hAnsi="Roboto" w:cs="Roboto"/>
          <w:b/>
          <w:sz w:val="21"/>
          <w:szCs w:val="21"/>
        </w:rPr>
        <w:t xml:space="preserve">Seules les éventuelles difficultés de connexion à l’application pourront être signalées à la DGRH. </w:t>
      </w:r>
    </w:p>
    <w:p w14:paraId="4057B8A4" w14:textId="77777777" w:rsidR="00175CF2" w:rsidRDefault="00175CF2">
      <w:pPr>
        <w:jc w:val="both"/>
        <w:rPr>
          <w:rFonts w:ascii="Calibri" w:eastAsia="Calibri" w:hAnsi="Calibri" w:cs="Calibri"/>
          <w:b/>
          <w:sz w:val="24"/>
          <w:szCs w:val="24"/>
        </w:rPr>
      </w:pPr>
    </w:p>
    <w:p w14:paraId="00533D1B"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L’avis du ou de la </w:t>
      </w:r>
      <w:proofErr w:type="spellStart"/>
      <w:r>
        <w:rPr>
          <w:rFonts w:ascii="Calibri" w:eastAsia="Calibri" w:hAnsi="Calibri" w:cs="Calibri"/>
          <w:sz w:val="24"/>
          <w:szCs w:val="24"/>
        </w:rPr>
        <w:t>supérieur·e</w:t>
      </w:r>
      <w:proofErr w:type="spellEnd"/>
      <w:r>
        <w:rPr>
          <w:rFonts w:ascii="Calibri" w:eastAsia="Calibri" w:hAnsi="Calibri" w:cs="Calibri"/>
          <w:sz w:val="24"/>
          <w:szCs w:val="24"/>
        </w:rPr>
        <w:t xml:space="preserve"> hiérarchique </w:t>
      </w:r>
      <w:hyperlink r:id="rId15">
        <w:r>
          <w:rPr>
            <w:rFonts w:ascii="Calibri" w:eastAsia="Calibri" w:hAnsi="Calibri" w:cs="Calibri"/>
            <w:color w:val="1155CC"/>
            <w:sz w:val="24"/>
            <w:szCs w:val="24"/>
            <w:u w:val="single"/>
          </w:rPr>
          <w:t>(cf. annexe 5)</w:t>
        </w:r>
      </w:hyperlink>
      <w:r>
        <w:rPr>
          <w:rFonts w:ascii="Calibri" w:eastAsia="Calibri" w:hAnsi="Calibri" w:cs="Calibri"/>
          <w:sz w:val="24"/>
          <w:szCs w:val="24"/>
        </w:rPr>
        <w:t xml:space="preserve"> devra </w:t>
      </w:r>
      <w:r>
        <w:rPr>
          <w:rFonts w:ascii="Calibri" w:eastAsia="Calibri" w:hAnsi="Calibri" w:cs="Calibri"/>
          <w:sz w:val="24"/>
          <w:szCs w:val="24"/>
        </w:rPr>
        <w:t>accompagner la demande de détachement. S’il n’est pas fourni lors du dépôt du dossier il pourra être envoyé ultérieurement par mail au service départemental (le plus rapidement possible et avant le 4 avril 2025, date de clôture de l’étude des dossiers dans</w:t>
      </w:r>
      <w:r>
        <w:rPr>
          <w:rFonts w:ascii="Calibri" w:eastAsia="Calibri" w:hAnsi="Calibri" w:cs="Calibri"/>
          <w:sz w:val="24"/>
          <w:szCs w:val="24"/>
        </w:rPr>
        <w:t xml:space="preserve"> les </w:t>
      </w:r>
      <w:proofErr w:type="spellStart"/>
      <w:r>
        <w:rPr>
          <w:rFonts w:ascii="Calibri" w:eastAsia="Calibri" w:hAnsi="Calibri" w:cs="Calibri"/>
          <w:sz w:val="24"/>
          <w:szCs w:val="24"/>
        </w:rPr>
        <w:t>dsden</w:t>
      </w:r>
      <w:proofErr w:type="spellEnd"/>
      <w:r>
        <w:rPr>
          <w:rFonts w:ascii="Calibri" w:eastAsia="Calibri" w:hAnsi="Calibri" w:cs="Calibri"/>
          <w:sz w:val="24"/>
          <w:szCs w:val="24"/>
        </w:rPr>
        <w:t>).</w:t>
      </w:r>
    </w:p>
    <w:p w14:paraId="145BD9E7"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Pour </w:t>
      </w:r>
      <w:proofErr w:type="gramStart"/>
      <w:r>
        <w:rPr>
          <w:rFonts w:ascii="Calibri" w:eastAsia="Calibri" w:hAnsi="Calibri" w:cs="Calibri"/>
          <w:sz w:val="24"/>
          <w:szCs w:val="24"/>
        </w:rPr>
        <w:t xml:space="preserve">les </w:t>
      </w:r>
      <w:proofErr w:type="spellStart"/>
      <w:r>
        <w:rPr>
          <w:rFonts w:ascii="Calibri" w:eastAsia="Calibri" w:hAnsi="Calibri" w:cs="Calibri"/>
          <w:sz w:val="24"/>
          <w:szCs w:val="24"/>
        </w:rPr>
        <w:t>professeur</w:t>
      </w:r>
      <w:proofErr w:type="gramEnd"/>
      <w:r>
        <w:rPr>
          <w:rFonts w:ascii="Calibri" w:eastAsia="Calibri" w:hAnsi="Calibri" w:cs="Calibri"/>
          <w:sz w:val="24"/>
          <w:szCs w:val="24"/>
        </w:rPr>
        <w:t>·es</w:t>
      </w:r>
      <w:proofErr w:type="spellEnd"/>
      <w:r>
        <w:rPr>
          <w:rFonts w:ascii="Calibri" w:eastAsia="Calibri" w:hAnsi="Calibri" w:cs="Calibri"/>
          <w:sz w:val="24"/>
          <w:szCs w:val="24"/>
        </w:rPr>
        <w:t xml:space="preserve"> des écoles </w:t>
      </w:r>
      <w:proofErr w:type="spellStart"/>
      <w:r>
        <w:rPr>
          <w:rFonts w:ascii="Calibri" w:eastAsia="Calibri" w:hAnsi="Calibri" w:cs="Calibri"/>
          <w:sz w:val="24"/>
          <w:szCs w:val="24"/>
        </w:rPr>
        <w:t>candidat·es</w:t>
      </w:r>
      <w:proofErr w:type="spellEnd"/>
      <w:r>
        <w:rPr>
          <w:rFonts w:ascii="Calibri" w:eastAsia="Calibri" w:hAnsi="Calibri" w:cs="Calibri"/>
          <w:sz w:val="24"/>
          <w:szCs w:val="24"/>
        </w:rPr>
        <w:t xml:space="preserve"> au détachement dans le corps des </w:t>
      </w:r>
      <w:proofErr w:type="spellStart"/>
      <w:r>
        <w:rPr>
          <w:rFonts w:ascii="Calibri" w:eastAsia="Calibri" w:hAnsi="Calibri" w:cs="Calibri"/>
          <w:sz w:val="24"/>
          <w:szCs w:val="24"/>
        </w:rPr>
        <w:t>enseignant·es</w:t>
      </w:r>
      <w:proofErr w:type="spellEnd"/>
      <w:r>
        <w:rPr>
          <w:rFonts w:ascii="Calibri" w:eastAsia="Calibri" w:hAnsi="Calibri" w:cs="Calibri"/>
          <w:sz w:val="24"/>
          <w:szCs w:val="24"/>
        </w:rPr>
        <w:t xml:space="preserve"> du 2d degré, d'éducation et des psychologues de l'éducation nationale, l'avis sera émis par l'IA-</w:t>
      </w:r>
      <w:proofErr w:type="spellStart"/>
      <w:r>
        <w:rPr>
          <w:rFonts w:ascii="Calibri" w:eastAsia="Calibri" w:hAnsi="Calibri" w:cs="Calibri"/>
          <w:sz w:val="24"/>
          <w:szCs w:val="24"/>
        </w:rPr>
        <w:t>Dasen</w:t>
      </w:r>
      <w:proofErr w:type="spellEnd"/>
      <w:r>
        <w:rPr>
          <w:rFonts w:ascii="Calibri" w:eastAsia="Calibri" w:hAnsi="Calibri" w:cs="Calibri"/>
          <w:sz w:val="24"/>
          <w:szCs w:val="24"/>
        </w:rPr>
        <w:t xml:space="preserve"> du département dont ils ou elles relèvent.</w:t>
      </w:r>
    </w:p>
    <w:p w14:paraId="22C32307" w14:textId="77777777" w:rsidR="00175CF2" w:rsidRDefault="002B433E">
      <w:pPr>
        <w:jc w:val="both"/>
        <w:rPr>
          <w:rFonts w:ascii="Calibri" w:eastAsia="Calibri" w:hAnsi="Calibri" w:cs="Calibri"/>
          <w:b/>
          <w:sz w:val="24"/>
          <w:szCs w:val="24"/>
        </w:rPr>
      </w:pPr>
      <w:r>
        <w:rPr>
          <w:rFonts w:ascii="Calibri" w:eastAsia="Calibri" w:hAnsi="Calibri" w:cs="Calibri"/>
          <w:b/>
          <w:sz w:val="24"/>
          <w:szCs w:val="24"/>
        </w:rPr>
        <w:t>La n</w:t>
      </w:r>
      <w:r>
        <w:rPr>
          <w:rFonts w:ascii="Calibri" w:eastAsia="Calibri" w:hAnsi="Calibri" w:cs="Calibri"/>
          <w:b/>
          <w:sz w:val="24"/>
          <w:szCs w:val="24"/>
        </w:rPr>
        <w:t>ote de service ministérielle précise d’ailleurs que “l</w:t>
      </w:r>
      <w:r>
        <w:rPr>
          <w:rFonts w:ascii="Calibri" w:eastAsia="Calibri" w:hAnsi="Calibri" w:cs="Calibri"/>
          <w:b/>
          <w:i/>
          <w:sz w:val="24"/>
          <w:szCs w:val="24"/>
        </w:rPr>
        <w:t>es avis du directeur d’école ou de l’inspecteur de l’éducation nationale ne sont pas requis et ne seront pas pris en compte”</w:t>
      </w:r>
      <w:r>
        <w:rPr>
          <w:rFonts w:ascii="Calibri" w:eastAsia="Calibri" w:hAnsi="Calibri" w:cs="Calibri"/>
          <w:b/>
          <w:sz w:val="24"/>
          <w:szCs w:val="24"/>
        </w:rPr>
        <w:t>.</w:t>
      </w:r>
    </w:p>
    <w:p w14:paraId="3323768D"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7287D550"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Par ailleurs, les </w:t>
      </w:r>
      <w:proofErr w:type="spellStart"/>
      <w:r>
        <w:rPr>
          <w:rFonts w:ascii="Calibri" w:eastAsia="Calibri" w:hAnsi="Calibri" w:cs="Calibri"/>
          <w:sz w:val="24"/>
          <w:szCs w:val="24"/>
        </w:rPr>
        <w:t>candidat·es</w:t>
      </w:r>
      <w:proofErr w:type="spellEnd"/>
      <w:r>
        <w:rPr>
          <w:rFonts w:ascii="Calibri" w:eastAsia="Calibri" w:hAnsi="Calibri" w:cs="Calibri"/>
          <w:sz w:val="24"/>
          <w:szCs w:val="24"/>
        </w:rPr>
        <w:t xml:space="preserve"> à un détachement sont invité.es à développer</w:t>
      </w:r>
      <w:r>
        <w:rPr>
          <w:rFonts w:ascii="Calibri" w:eastAsia="Calibri" w:hAnsi="Calibri" w:cs="Calibri"/>
          <w:sz w:val="24"/>
          <w:szCs w:val="24"/>
        </w:rPr>
        <w:t xml:space="preserve"> explicitement chacune des rubriques du dossier, en particulier dans la lettre de motivation : leur parcours de formation et les démarches entreprises pour actualiser leurs compétences et connaissances disciplinaires, leur parcours professionnel, les acqui</w:t>
      </w:r>
      <w:r>
        <w:rPr>
          <w:rFonts w:ascii="Calibri" w:eastAsia="Calibri" w:hAnsi="Calibri" w:cs="Calibri"/>
          <w:sz w:val="24"/>
          <w:szCs w:val="24"/>
        </w:rPr>
        <w:t xml:space="preserve">s de l'expérience et leur motivation. </w:t>
      </w:r>
      <w:hyperlink r:id="rId16">
        <w:r>
          <w:rPr>
            <w:rFonts w:ascii="Calibri" w:eastAsia="Calibri" w:hAnsi="Calibri" w:cs="Calibri"/>
            <w:color w:val="1155CC"/>
            <w:sz w:val="24"/>
            <w:szCs w:val="24"/>
            <w:u w:val="single"/>
          </w:rPr>
          <w:t>Dans l’annexe 2</w:t>
        </w:r>
      </w:hyperlink>
      <w:r>
        <w:rPr>
          <w:rFonts w:ascii="Calibri" w:eastAsia="Calibri" w:hAnsi="Calibri" w:cs="Calibri"/>
          <w:sz w:val="24"/>
          <w:szCs w:val="24"/>
        </w:rPr>
        <w:t>, figure la liste des éléments et pièces requises lors de la constitution du dossier.</w:t>
      </w:r>
    </w:p>
    <w:p w14:paraId="600F52F3" w14:textId="77777777" w:rsidR="00175CF2" w:rsidRDefault="002B433E">
      <w:pPr>
        <w:pStyle w:val="Titre4"/>
        <w:keepNext w:val="0"/>
        <w:keepLines w:val="0"/>
        <w:spacing w:before="240" w:after="60"/>
        <w:jc w:val="both"/>
        <w:rPr>
          <w:rFonts w:ascii="Calibri" w:eastAsia="Calibri" w:hAnsi="Calibri" w:cs="Calibri"/>
        </w:rPr>
      </w:pPr>
      <w:bookmarkStart w:id="4" w:name="_vkrgmpfl2zt" w:colFirst="0" w:colLast="0"/>
      <w:bookmarkEnd w:id="4"/>
      <w:r>
        <w:rPr>
          <w:rFonts w:ascii="Calibri" w:eastAsia="Calibri" w:hAnsi="Calibri" w:cs="Calibri"/>
          <w:color w:val="000000"/>
        </w:rPr>
        <w:t xml:space="preserve"> L'étude des demandes se fait par les </w:t>
      </w:r>
      <w:proofErr w:type="spellStart"/>
      <w:r>
        <w:rPr>
          <w:rFonts w:ascii="Calibri" w:eastAsia="Calibri" w:hAnsi="Calibri" w:cs="Calibri"/>
          <w:color w:val="000000"/>
        </w:rPr>
        <w:t>Dasen</w:t>
      </w:r>
      <w:proofErr w:type="spellEnd"/>
      <w:r>
        <w:rPr>
          <w:rFonts w:ascii="Calibri" w:eastAsia="Calibri" w:hAnsi="Calibri" w:cs="Calibri"/>
          <w:color w:val="000000"/>
        </w:rPr>
        <w:t xml:space="preserve"> qui seront particulièrement attentifs aux points suivants : </w:t>
      </w:r>
    </w:p>
    <w:p w14:paraId="46EE1BE7" w14:textId="77777777" w:rsidR="00175CF2" w:rsidRDefault="002B433E">
      <w:pPr>
        <w:numPr>
          <w:ilvl w:val="0"/>
          <w:numId w:val="10"/>
        </w:numPr>
        <w:rPr>
          <w:rFonts w:ascii="Calibri" w:eastAsia="Calibri" w:hAnsi="Calibri" w:cs="Calibri"/>
          <w:sz w:val="24"/>
          <w:szCs w:val="24"/>
        </w:rPr>
      </w:pPr>
      <w:proofErr w:type="gramStart"/>
      <w:r>
        <w:rPr>
          <w:rFonts w:ascii="Calibri" w:eastAsia="Calibri" w:hAnsi="Calibri" w:cs="Calibri"/>
          <w:sz w:val="24"/>
          <w:szCs w:val="24"/>
        </w:rPr>
        <w:t>la</w:t>
      </w:r>
      <w:proofErr w:type="gramEnd"/>
      <w:r>
        <w:rPr>
          <w:rFonts w:ascii="Calibri" w:eastAsia="Calibri" w:hAnsi="Calibri" w:cs="Calibri"/>
          <w:sz w:val="24"/>
          <w:szCs w:val="24"/>
        </w:rPr>
        <w:t xml:space="preserve"> comparabilité des corps d’origine et d’accueil ;</w:t>
      </w:r>
    </w:p>
    <w:p w14:paraId="37B14EC6" w14:textId="77777777" w:rsidR="00175CF2" w:rsidRDefault="002B433E">
      <w:pPr>
        <w:numPr>
          <w:ilvl w:val="0"/>
          <w:numId w:val="10"/>
        </w:numPr>
        <w:rPr>
          <w:rFonts w:ascii="Calibri" w:eastAsia="Calibri" w:hAnsi="Calibri" w:cs="Calibri"/>
          <w:sz w:val="24"/>
          <w:szCs w:val="24"/>
        </w:rPr>
      </w:pPr>
      <w:proofErr w:type="gramStart"/>
      <w:r>
        <w:rPr>
          <w:rFonts w:ascii="Calibri" w:eastAsia="Calibri" w:hAnsi="Calibri" w:cs="Calibri"/>
          <w:sz w:val="24"/>
          <w:szCs w:val="24"/>
        </w:rPr>
        <w:t>la</w:t>
      </w:r>
      <w:proofErr w:type="gramEnd"/>
      <w:r>
        <w:rPr>
          <w:rFonts w:ascii="Calibri" w:eastAsia="Calibri" w:hAnsi="Calibri" w:cs="Calibri"/>
          <w:sz w:val="24"/>
          <w:szCs w:val="24"/>
        </w:rPr>
        <w:t xml:space="preserve"> détention </w:t>
      </w:r>
      <w:r>
        <w:rPr>
          <w:rFonts w:ascii="Calibri" w:eastAsia="Calibri" w:hAnsi="Calibri" w:cs="Calibri"/>
          <w:sz w:val="24"/>
          <w:szCs w:val="24"/>
        </w:rPr>
        <w:t>des diplômes ou titres requis ;</w:t>
      </w:r>
    </w:p>
    <w:p w14:paraId="2827E450" w14:textId="77777777" w:rsidR="00175CF2" w:rsidRDefault="002B433E">
      <w:pPr>
        <w:numPr>
          <w:ilvl w:val="0"/>
          <w:numId w:val="10"/>
        </w:numPr>
        <w:rPr>
          <w:rFonts w:ascii="Calibri" w:eastAsia="Calibri" w:hAnsi="Calibri" w:cs="Calibri"/>
          <w:sz w:val="24"/>
          <w:szCs w:val="24"/>
        </w:rPr>
      </w:pPr>
      <w:proofErr w:type="gramStart"/>
      <w:r>
        <w:rPr>
          <w:rFonts w:ascii="Calibri" w:eastAsia="Calibri" w:hAnsi="Calibri" w:cs="Calibri"/>
          <w:sz w:val="24"/>
          <w:szCs w:val="24"/>
        </w:rPr>
        <w:t>l’adéquation</w:t>
      </w:r>
      <w:proofErr w:type="gramEnd"/>
      <w:r>
        <w:rPr>
          <w:rFonts w:ascii="Calibri" w:eastAsia="Calibri" w:hAnsi="Calibri" w:cs="Calibri"/>
          <w:sz w:val="24"/>
          <w:szCs w:val="24"/>
        </w:rPr>
        <w:t xml:space="preserve"> entre la discipline demandée et la formation initiale et continue suivie par les candidats ;</w:t>
      </w:r>
    </w:p>
    <w:p w14:paraId="1D6E977F" w14:textId="77777777" w:rsidR="00175CF2" w:rsidRDefault="002B433E">
      <w:pPr>
        <w:numPr>
          <w:ilvl w:val="0"/>
          <w:numId w:val="10"/>
        </w:numPr>
        <w:spacing w:after="300"/>
        <w:rPr>
          <w:rFonts w:ascii="Calibri" w:eastAsia="Calibri" w:hAnsi="Calibri" w:cs="Calibri"/>
          <w:sz w:val="24"/>
          <w:szCs w:val="24"/>
        </w:rPr>
      </w:pPr>
      <w:proofErr w:type="gramStart"/>
      <w:r>
        <w:rPr>
          <w:rFonts w:ascii="Calibri" w:eastAsia="Calibri" w:hAnsi="Calibri" w:cs="Calibri"/>
          <w:sz w:val="24"/>
          <w:szCs w:val="24"/>
        </w:rPr>
        <w:t>la</w:t>
      </w:r>
      <w:proofErr w:type="gramEnd"/>
      <w:r>
        <w:rPr>
          <w:rFonts w:ascii="Calibri" w:eastAsia="Calibri" w:hAnsi="Calibri" w:cs="Calibri"/>
          <w:sz w:val="24"/>
          <w:szCs w:val="24"/>
        </w:rPr>
        <w:t xml:space="preserve"> motivation du candidat appréciée notamment au regard de sa connaissance, de ses compétences professionnelles au reg</w:t>
      </w:r>
      <w:r>
        <w:rPr>
          <w:rFonts w:ascii="Calibri" w:eastAsia="Calibri" w:hAnsi="Calibri" w:cs="Calibri"/>
          <w:sz w:val="24"/>
          <w:szCs w:val="24"/>
        </w:rPr>
        <w:t>ard des métiers du professorat, de l’éducation ou de psychologue de l’éducation nationale, de la réalisation d’actions de formation récentes, de périodes d’observation ou de mise en situation</w:t>
      </w:r>
      <w:r>
        <w:rPr>
          <w:rFonts w:ascii="Roboto" w:eastAsia="Roboto" w:hAnsi="Roboto" w:cs="Roboto"/>
          <w:sz w:val="21"/>
          <w:szCs w:val="21"/>
        </w:rPr>
        <w:t>.</w:t>
      </w:r>
    </w:p>
    <w:p w14:paraId="36B6B316"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Seuls les dossiers ayant reçu un avis favorable de </w:t>
      </w:r>
      <w:r>
        <w:rPr>
          <w:rFonts w:ascii="Calibri" w:eastAsia="Calibri" w:hAnsi="Calibri" w:cs="Calibri"/>
          <w:b/>
          <w:sz w:val="24"/>
          <w:szCs w:val="24"/>
        </w:rPr>
        <w:t>“l’autorité”</w:t>
      </w:r>
      <w:r>
        <w:rPr>
          <w:rFonts w:ascii="Calibri" w:eastAsia="Calibri" w:hAnsi="Calibri" w:cs="Calibri"/>
          <w:sz w:val="24"/>
          <w:szCs w:val="24"/>
        </w:rPr>
        <w:t xml:space="preserve"> seront transmis au ministère pour décision. Le.la </w:t>
      </w:r>
      <w:proofErr w:type="spellStart"/>
      <w:proofErr w:type="gramStart"/>
      <w:r>
        <w:rPr>
          <w:rFonts w:ascii="Calibri" w:eastAsia="Calibri" w:hAnsi="Calibri" w:cs="Calibri"/>
          <w:sz w:val="24"/>
          <w:szCs w:val="24"/>
        </w:rPr>
        <w:t>candidat.e</w:t>
      </w:r>
      <w:proofErr w:type="spellEnd"/>
      <w:proofErr w:type="gramEnd"/>
      <w:r>
        <w:rPr>
          <w:rFonts w:ascii="Calibri" w:eastAsia="Calibri" w:hAnsi="Calibri" w:cs="Calibri"/>
          <w:sz w:val="24"/>
          <w:szCs w:val="24"/>
        </w:rPr>
        <w:t xml:space="preserve"> peut néanmoins faire un recours hiérarchique auprès du Ministre en cas d’avis défavorable.</w:t>
      </w:r>
    </w:p>
    <w:p w14:paraId="1A012591" w14:textId="77777777" w:rsidR="00175CF2" w:rsidRDefault="002B433E">
      <w:pPr>
        <w:rPr>
          <w:rFonts w:ascii="Calibri" w:eastAsia="Calibri" w:hAnsi="Calibri" w:cs="Calibri"/>
          <w:sz w:val="24"/>
          <w:szCs w:val="24"/>
        </w:rPr>
      </w:pPr>
      <w:r>
        <w:rPr>
          <w:rFonts w:ascii="Calibri" w:eastAsia="Calibri" w:hAnsi="Calibri" w:cs="Calibri"/>
          <w:sz w:val="24"/>
          <w:szCs w:val="24"/>
        </w:rPr>
        <w:t xml:space="preserve"> </w:t>
      </w:r>
    </w:p>
    <w:p w14:paraId="390AE599" w14:textId="77777777" w:rsidR="00175CF2" w:rsidRDefault="002B433E">
      <w:pPr>
        <w:rPr>
          <w:rFonts w:ascii="Calibri" w:eastAsia="Calibri" w:hAnsi="Calibri" w:cs="Calibri"/>
          <w:sz w:val="24"/>
          <w:szCs w:val="24"/>
        </w:rPr>
      </w:pPr>
      <w:r>
        <w:rPr>
          <w:rFonts w:ascii="Calibri" w:eastAsia="Calibri" w:hAnsi="Calibri" w:cs="Calibri"/>
          <w:sz w:val="24"/>
          <w:szCs w:val="24"/>
        </w:rPr>
        <w:t>Vigilances :</w:t>
      </w:r>
    </w:p>
    <w:p w14:paraId="7216E1B7" w14:textId="77777777" w:rsidR="00175CF2" w:rsidRDefault="002B433E">
      <w:pPr>
        <w:numPr>
          <w:ilvl w:val="0"/>
          <w:numId w:val="2"/>
        </w:numPr>
        <w:rPr>
          <w:color w:val="FF0000"/>
        </w:rPr>
      </w:pPr>
      <w:r>
        <w:rPr>
          <w:rFonts w:ascii="Times New Roman" w:eastAsia="Times New Roman" w:hAnsi="Times New Roman" w:cs="Times New Roman"/>
          <w:color w:val="FF0000"/>
          <w:sz w:val="14"/>
          <w:szCs w:val="14"/>
        </w:rPr>
        <w:t xml:space="preserve"> </w:t>
      </w:r>
      <w:r>
        <w:rPr>
          <w:rFonts w:ascii="Calibri" w:eastAsia="Calibri" w:hAnsi="Calibri" w:cs="Calibri"/>
          <w:color w:val="FF0000"/>
          <w:sz w:val="24"/>
          <w:szCs w:val="24"/>
        </w:rPr>
        <w:t>Si candidatures de détachement multiples, les demandes sont saisies sur un seul formula</w:t>
      </w:r>
      <w:r>
        <w:rPr>
          <w:rFonts w:ascii="Calibri" w:eastAsia="Calibri" w:hAnsi="Calibri" w:cs="Calibri"/>
          <w:color w:val="FF0000"/>
          <w:sz w:val="24"/>
          <w:szCs w:val="24"/>
        </w:rPr>
        <w:t xml:space="preserve">ire sur lequel il est possible de renseigner plusieurs </w:t>
      </w:r>
      <w:proofErr w:type="spellStart"/>
      <w:r>
        <w:rPr>
          <w:rFonts w:ascii="Calibri" w:eastAsia="Calibri" w:hAnsi="Calibri" w:cs="Calibri"/>
          <w:color w:val="FF0000"/>
          <w:sz w:val="24"/>
          <w:szCs w:val="24"/>
        </w:rPr>
        <w:t>voeux</w:t>
      </w:r>
      <w:proofErr w:type="spellEnd"/>
      <w:r>
        <w:rPr>
          <w:rFonts w:ascii="Calibri" w:eastAsia="Calibri" w:hAnsi="Calibri" w:cs="Calibri"/>
          <w:color w:val="FF0000"/>
          <w:sz w:val="24"/>
          <w:szCs w:val="24"/>
        </w:rPr>
        <w:t>.</w:t>
      </w:r>
    </w:p>
    <w:p w14:paraId="72DE2017" w14:textId="77777777" w:rsidR="00175CF2" w:rsidRDefault="002B433E">
      <w:pPr>
        <w:numPr>
          <w:ilvl w:val="0"/>
          <w:numId w:val="2"/>
        </w:numPr>
        <w:rPr>
          <w:rFonts w:ascii="Calibri" w:eastAsia="Calibri" w:hAnsi="Calibri" w:cs="Calibri"/>
          <w:color w:val="FF0000"/>
          <w:sz w:val="24"/>
          <w:szCs w:val="24"/>
        </w:rPr>
      </w:pPr>
      <w:r>
        <w:rPr>
          <w:rFonts w:ascii="Calibri" w:eastAsia="Calibri" w:hAnsi="Calibri" w:cs="Calibri"/>
          <w:color w:val="FF0000"/>
          <w:sz w:val="24"/>
          <w:szCs w:val="24"/>
        </w:rPr>
        <w:t>Le nombre de demandes est limité à 4 avec limitation à 2 corps (une discipline par corps) et à 2 académies/départements.</w:t>
      </w:r>
    </w:p>
    <w:p w14:paraId="4E8200E0" w14:textId="77777777" w:rsidR="00175CF2" w:rsidRDefault="002B433E">
      <w:pPr>
        <w:numPr>
          <w:ilvl w:val="0"/>
          <w:numId w:val="2"/>
        </w:numPr>
        <w:rPr>
          <w:rFonts w:ascii="Calibri" w:eastAsia="Calibri" w:hAnsi="Calibri" w:cs="Calibri"/>
          <w:sz w:val="24"/>
          <w:szCs w:val="24"/>
        </w:rPr>
      </w:pPr>
      <w:r>
        <w:rPr>
          <w:rFonts w:ascii="Calibri" w:eastAsia="Calibri" w:hAnsi="Calibri" w:cs="Calibri"/>
          <w:sz w:val="24"/>
          <w:szCs w:val="24"/>
        </w:rPr>
        <w:t>Les personnels mis à disposition de la Polynésie/Nouvelle-Calédonie ne pe</w:t>
      </w:r>
      <w:r>
        <w:rPr>
          <w:rFonts w:ascii="Calibri" w:eastAsia="Calibri" w:hAnsi="Calibri" w:cs="Calibri"/>
          <w:sz w:val="24"/>
          <w:szCs w:val="24"/>
        </w:rPr>
        <w:t>uvent être en même temps détachés (ces deux positions du fonctionnaire sont incompatibles).</w:t>
      </w:r>
    </w:p>
    <w:p w14:paraId="6C686837" w14:textId="77777777" w:rsidR="00175CF2" w:rsidRDefault="002B433E">
      <w:pPr>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C72F3D2" w14:textId="77777777" w:rsidR="00175CF2" w:rsidRDefault="002B433E">
      <w:pPr>
        <w:numPr>
          <w:ilvl w:val="0"/>
          <w:numId w:val="8"/>
        </w:numPr>
        <w:jc w:val="both"/>
        <w:rPr>
          <w:rFonts w:ascii="Tahoma" w:eastAsia="Tahoma" w:hAnsi="Tahoma" w:cs="Tahoma"/>
          <w:sz w:val="28"/>
          <w:szCs w:val="28"/>
        </w:rPr>
      </w:pPr>
      <w:r>
        <w:rPr>
          <w:rFonts w:ascii="Calibri" w:eastAsia="Calibri" w:hAnsi="Calibri" w:cs="Calibri"/>
          <w:b/>
          <w:sz w:val="24"/>
          <w:szCs w:val="24"/>
          <w:u w:val="single"/>
        </w:rPr>
        <w:t>Calendrier</w:t>
      </w:r>
    </w:p>
    <w:tbl>
      <w:tblPr>
        <w:tblStyle w:val="a0"/>
        <w:tblW w:w="99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55"/>
        <w:gridCol w:w="6345"/>
      </w:tblGrid>
      <w:tr w:rsidR="00175CF2" w14:paraId="2285047F" w14:textId="77777777">
        <w:trPr>
          <w:trHeight w:val="480"/>
        </w:trPr>
        <w:tc>
          <w:tcPr>
            <w:tcW w:w="3555" w:type="dxa"/>
            <w:tcBorders>
              <w:bottom w:val="single" w:sz="8" w:space="0" w:color="000000"/>
              <w:right w:val="single" w:sz="8" w:space="0" w:color="000000"/>
            </w:tcBorders>
            <w:shd w:val="clear" w:color="auto" w:fill="auto"/>
            <w:tcMar>
              <w:top w:w="100" w:type="dxa"/>
              <w:left w:w="80" w:type="dxa"/>
              <w:bottom w:w="100" w:type="dxa"/>
              <w:right w:w="80" w:type="dxa"/>
            </w:tcMar>
          </w:tcPr>
          <w:p w14:paraId="6100CA94" w14:textId="77777777" w:rsidR="00175CF2" w:rsidRDefault="002B433E">
            <w:pPr>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6345" w:type="dxa"/>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6688361"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Fonctionnaires de catégorie A + Ressortissants de l'UE</w:t>
            </w:r>
          </w:p>
        </w:tc>
      </w:tr>
      <w:tr w:rsidR="00175CF2" w14:paraId="1BF015CD" w14:textId="77777777">
        <w:trPr>
          <w:trHeight w:val="75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40A311C" w14:textId="77777777" w:rsidR="00175CF2" w:rsidRDefault="002B433E">
            <w:pPr>
              <w:jc w:val="center"/>
              <w:rPr>
                <w:rFonts w:ascii="Calibri" w:eastAsia="Calibri" w:hAnsi="Calibri" w:cs="Calibri"/>
                <w:b/>
                <w:sz w:val="24"/>
                <w:szCs w:val="24"/>
              </w:rPr>
            </w:pPr>
            <w:r>
              <w:rPr>
                <w:rFonts w:ascii="Calibri" w:eastAsia="Calibri" w:hAnsi="Calibri" w:cs="Calibri"/>
                <w:b/>
                <w:sz w:val="24"/>
                <w:szCs w:val="24"/>
              </w:rPr>
              <w:t>13 janvier au 7 février 2025</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760AE91E"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Saisie des demandes des candidats sur</w:t>
            </w:r>
          </w:p>
          <w:p w14:paraId="1B9E1DF6" w14:textId="77777777" w:rsidR="00175CF2" w:rsidRDefault="002B433E">
            <w:pPr>
              <w:jc w:val="center"/>
              <w:rPr>
                <w:rFonts w:ascii="Calibri" w:eastAsia="Calibri" w:hAnsi="Calibri" w:cs="Calibri"/>
                <w:color w:val="1155CC"/>
                <w:sz w:val="24"/>
                <w:szCs w:val="24"/>
                <w:u w:val="single"/>
              </w:rPr>
            </w:pPr>
            <w:hyperlink r:id="rId17">
              <w:r>
                <w:rPr>
                  <w:rFonts w:ascii="Calibri" w:eastAsia="Calibri" w:hAnsi="Calibri" w:cs="Calibri"/>
                  <w:color w:val="1155CC"/>
                  <w:sz w:val="24"/>
                  <w:szCs w:val="24"/>
                  <w:u w:val="single"/>
                </w:rPr>
                <w:t>https://i-dgrh2-app.adc.education.fr/pegase</w:t>
              </w:r>
            </w:hyperlink>
          </w:p>
        </w:tc>
      </w:tr>
      <w:tr w:rsidR="00175CF2" w14:paraId="30FD91DF" w14:textId="77777777">
        <w:trPr>
          <w:trHeight w:val="48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4810C1F"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lastRenderedPageBreak/>
              <w:t>12 février au 4 avril 2025</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45BAF95F"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Instruction des dossiers par les DSDEN et les rectorats</w:t>
            </w:r>
          </w:p>
        </w:tc>
      </w:tr>
      <w:tr w:rsidR="00175CF2" w14:paraId="121C8600" w14:textId="77777777">
        <w:trPr>
          <w:trHeight w:val="75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AD1E21F"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4 avril 2025 au plus tard</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30DC6507"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Transmission à la DGRH des dossiers retenus par les IA-</w:t>
            </w:r>
            <w:proofErr w:type="spellStart"/>
            <w:r>
              <w:rPr>
                <w:rFonts w:ascii="Calibri" w:eastAsia="Calibri" w:hAnsi="Calibri" w:cs="Calibri"/>
                <w:sz w:val="24"/>
                <w:szCs w:val="24"/>
              </w:rPr>
              <w:t>Dasen</w:t>
            </w:r>
            <w:proofErr w:type="spellEnd"/>
            <w:r>
              <w:rPr>
                <w:rFonts w:ascii="Calibri" w:eastAsia="Calibri" w:hAnsi="Calibri" w:cs="Calibri"/>
                <w:sz w:val="24"/>
                <w:szCs w:val="24"/>
              </w:rPr>
              <w:t xml:space="preserve"> et les recteurs d'académie</w:t>
            </w:r>
          </w:p>
        </w:tc>
      </w:tr>
      <w:tr w:rsidR="00175CF2" w14:paraId="679E118C" w14:textId="77777777">
        <w:trPr>
          <w:trHeight w:val="129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B4D7A46"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23 mai 2025 au plus tard</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1658CC30"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Transmission à la DGRH du tableau des demandes de maintien, renouvellement et fin de détachement ou d'intégration dans le corps d’accueil ; jo</w:t>
            </w:r>
            <w:r>
              <w:rPr>
                <w:rFonts w:ascii="Calibri" w:eastAsia="Calibri" w:hAnsi="Calibri" w:cs="Calibri"/>
                <w:sz w:val="24"/>
                <w:szCs w:val="24"/>
              </w:rPr>
              <w:t>indre les pièces justificatives.</w:t>
            </w:r>
          </w:p>
        </w:tc>
      </w:tr>
      <w:tr w:rsidR="00175CF2" w14:paraId="62059D2F" w14:textId="77777777">
        <w:trPr>
          <w:trHeight w:val="1815"/>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61405F8"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23 mai 2025 au plus tard</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3935DA54"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Transmission à la DGRH des demandes d'intégration des </w:t>
            </w:r>
            <w:proofErr w:type="spellStart"/>
            <w:r>
              <w:rPr>
                <w:rFonts w:ascii="Calibri" w:eastAsia="Calibri" w:hAnsi="Calibri" w:cs="Calibri"/>
                <w:sz w:val="24"/>
                <w:szCs w:val="24"/>
              </w:rPr>
              <w:t>professeur·es</w:t>
            </w:r>
            <w:proofErr w:type="spellEnd"/>
            <w:r>
              <w:rPr>
                <w:rFonts w:ascii="Calibri" w:eastAsia="Calibri" w:hAnsi="Calibri" w:cs="Calibri"/>
                <w:sz w:val="24"/>
                <w:szCs w:val="24"/>
              </w:rPr>
              <w:t xml:space="preserve"> des écoles </w:t>
            </w:r>
            <w:proofErr w:type="spellStart"/>
            <w:r>
              <w:rPr>
                <w:rFonts w:ascii="Calibri" w:eastAsia="Calibri" w:hAnsi="Calibri" w:cs="Calibri"/>
                <w:sz w:val="24"/>
                <w:szCs w:val="24"/>
              </w:rPr>
              <w:t>détaché·es</w:t>
            </w:r>
            <w:proofErr w:type="spellEnd"/>
            <w:r>
              <w:rPr>
                <w:rFonts w:ascii="Calibri" w:eastAsia="Calibri" w:hAnsi="Calibri" w:cs="Calibri"/>
                <w:sz w:val="24"/>
                <w:szCs w:val="24"/>
              </w:rPr>
              <w:t xml:space="preserve"> dans le corps des psychologues de l'éducation nationale - spécialité EDA - lors de la constitution initiale du corps.</w:t>
            </w:r>
          </w:p>
        </w:tc>
      </w:tr>
      <w:tr w:rsidR="00175CF2" w14:paraId="588FE163" w14:textId="77777777">
        <w:trPr>
          <w:trHeight w:val="48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C6BF7A8"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Avril - mai 2024</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2508AADF"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Instruction des dossiers par la DGRH du ministère</w:t>
            </w:r>
          </w:p>
        </w:tc>
      </w:tr>
      <w:tr w:rsidR="00175CF2" w14:paraId="02F9087B" w14:textId="77777777">
        <w:trPr>
          <w:trHeight w:val="102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2C66B88"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A partir du 5 juin 2025</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31180EB5"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Communication des décisions ministérielles aux services départementaux (1er degré) ou académique (2d degré)</w:t>
            </w:r>
          </w:p>
        </w:tc>
      </w:tr>
      <w:tr w:rsidR="00175CF2" w14:paraId="3A2F9D4F" w14:textId="77777777">
        <w:trPr>
          <w:trHeight w:val="750"/>
        </w:trPr>
        <w:tc>
          <w:tcPr>
            <w:tcW w:w="355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6C6F82E" w14:textId="77777777" w:rsidR="00175CF2" w:rsidRDefault="002B433E">
            <w:pPr>
              <w:jc w:val="center"/>
              <w:rPr>
                <w:rFonts w:ascii="Calibri" w:eastAsia="Calibri" w:hAnsi="Calibri" w:cs="Calibri"/>
                <w:sz w:val="24"/>
                <w:szCs w:val="24"/>
              </w:rPr>
            </w:pPr>
            <w:r>
              <w:rPr>
                <w:rFonts w:ascii="Calibri" w:eastAsia="Calibri" w:hAnsi="Calibri" w:cs="Calibri"/>
                <w:sz w:val="24"/>
                <w:szCs w:val="24"/>
              </w:rPr>
              <w:t>1er septembre 2025</w:t>
            </w:r>
          </w:p>
        </w:tc>
        <w:tc>
          <w:tcPr>
            <w:tcW w:w="6345" w:type="dxa"/>
            <w:tcBorders>
              <w:bottom w:val="single" w:sz="8" w:space="0" w:color="000000"/>
              <w:right w:val="single" w:sz="8" w:space="0" w:color="000000"/>
            </w:tcBorders>
            <w:shd w:val="clear" w:color="auto" w:fill="auto"/>
            <w:tcMar>
              <w:top w:w="100" w:type="dxa"/>
              <w:left w:w="80" w:type="dxa"/>
              <w:bottom w:w="100" w:type="dxa"/>
              <w:right w:w="80" w:type="dxa"/>
            </w:tcMar>
          </w:tcPr>
          <w:p w14:paraId="3A2BB79C"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Début du détachement (ou de la période probatoire pour les militaires)</w:t>
            </w:r>
          </w:p>
        </w:tc>
      </w:tr>
    </w:tbl>
    <w:p w14:paraId="4FB2BE09" w14:textId="77777777" w:rsidR="00175CF2" w:rsidRDefault="002B433E">
      <w:pPr>
        <w:ind w:left="36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7312D0C" w14:textId="77777777" w:rsidR="00175CF2" w:rsidRDefault="002B433E">
      <w:pPr>
        <w:numPr>
          <w:ilvl w:val="0"/>
          <w:numId w:val="5"/>
        </w:numPr>
        <w:jc w:val="both"/>
        <w:rPr>
          <w:rFonts w:ascii="Tahoma" w:eastAsia="Tahoma" w:hAnsi="Tahoma" w:cs="Tahoma"/>
          <w:sz w:val="28"/>
          <w:szCs w:val="28"/>
        </w:rPr>
      </w:pPr>
      <w:r>
        <w:rPr>
          <w:rFonts w:ascii="Calibri" w:eastAsia="Calibri" w:hAnsi="Calibri" w:cs="Calibri"/>
          <w:b/>
          <w:sz w:val="24"/>
          <w:szCs w:val="24"/>
          <w:u w:val="single"/>
        </w:rPr>
        <w:t>Obtention du détachement (procédures et durée), renouvellement et intégration</w:t>
      </w:r>
    </w:p>
    <w:p w14:paraId="5499EDAA"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Le détachement est attribué pour une durée de deux ans. Durant la première année, les </w:t>
      </w:r>
      <w:proofErr w:type="spellStart"/>
      <w:r>
        <w:rPr>
          <w:rFonts w:ascii="Calibri" w:eastAsia="Calibri" w:hAnsi="Calibri" w:cs="Calibri"/>
          <w:sz w:val="24"/>
          <w:szCs w:val="24"/>
        </w:rPr>
        <w:t>agent·es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détaché·es</w:t>
      </w:r>
      <w:proofErr w:type="spellEnd"/>
      <w:r>
        <w:rPr>
          <w:rFonts w:ascii="Calibri" w:eastAsia="Calibri" w:hAnsi="Calibri" w:cs="Calibri"/>
          <w:sz w:val="24"/>
          <w:szCs w:val="24"/>
        </w:rPr>
        <w:t xml:space="preserve"> sont </w:t>
      </w:r>
      <w:proofErr w:type="spellStart"/>
      <w:r>
        <w:rPr>
          <w:rFonts w:ascii="Calibri" w:eastAsia="Calibri" w:hAnsi="Calibri" w:cs="Calibri"/>
          <w:sz w:val="24"/>
          <w:szCs w:val="24"/>
        </w:rPr>
        <w:t>nommé·es</w:t>
      </w:r>
      <w:proofErr w:type="spellEnd"/>
      <w:r>
        <w:rPr>
          <w:rFonts w:ascii="Calibri" w:eastAsia="Calibri" w:hAnsi="Calibri" w:cs="Calibri"/>
          <w:sz w:val="24"/>
          <w:szCs w:val="24"/>
        </w:rPr>
        <w:t xml:space="preserve"> à titre provisoire et suivent un parcours de “formation adaptée”. A l’issue de la première année, la DSDEN ou le rectorat émet un avis s</w:t>
      </w:r>
      <w:r>
        <w:rPr>
          <w:rFonts w:ascii="Calibri" w:eastAsia="Calibri" w:hAnsi="Calibri" w:cs="Calibri"/>
          <w:sz w:val="24"/>
          <w:szCs w:val="24"/>
        </w:rPr>
        <w:t>ur le maintien en détachement. S’il est favorable, celui-ci se poursuit, dans le cas contraire, il est mis fin au détachement avec réintégration dans le corps d’origine.</w:t>
      </w:r>
    </w:p>
    <w:p w14:paraId="303F7776"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0DD6C881"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L'intégration définitive dans le corps d’accueil peut être prononcée à l’issue de la</w:t>
      </w:r>
      <w:r>
        <w:rPr>
          <w:rFonts w:ascii="Calibri" w:eastAsia="Calibri" w:hAnsi="Calibri" w:cs="Calibri"/>
          <w:sz w:val="24"/>
          <w:szCs w:val="24"/>
        </w:rPr>
        <w:t xml:space="preserve"> :</w:t>
      </w:r>
    </w:p>
    <w:p w14:paraId="03D6C027" w14:textId="77777777" w:rsidR="00175CF2" w:rsidRDefault="002B433E">
      <w:pPr>
        <w:numPr>
          <w:ilvl w:val="0"/>
          <w:numId w:val="3"/>
        </w:numPr>
        <w:jc w:val="both"/>
      </w:pPr>
      <w:r>
        <w:rPr>
          <w:rFonts w:ascii="Times New Roman" w:eastAsia="Times New Roman" w:hAnsi="Times New Roman" w:cs="Times New Roman"/>
          <w:sz w:val="14"/>
          <w:szCs w:val="14"/>
        </w:rPr>
        <w:t xml:space="preserve"> </w:t>
      </w:r>
      <w:proofErr w:type="gramStart"/>
      <w:r>
        <w:rPr>
          <w:rFonts w:ascii="Calibri" w:eastAsia="Calibri" w:hAnsi="Calibri" w:cs="Calibri"/>
          <w:sz w:val="24"/>
          <w:szCs w:val="24"/>
        </w:rPr>
        <w:t>première</w:t>
      </w:r>
      <w:proofErr w:type="gramEnd"/>
      <w:r>
        <w:rPr>
          <w:rFonts w:ascii="Calibri" w:eastAsia="Calibri" w:hAnsi="Calibri" w:cs="Calibri"/>
          <w:sz w:val="24"/>
          <w:szCs w:val="24"/>
        </w:rPr>
        <w:t xml:space="preserve"> année si l’</w:t>
      </w:r>
      <w:proofErr w:type="spellStart"/>
      <w:r>
        <w:rPr>
          <w:rFonts w:ascii="Calibri" w:eastAsia="Calibri" w:hAnsi="Calibri" w:cs="Calibri"/>
          <w:sz w:val="24"/>
          <w:szCs w:val="24"/>
        </w:rPr>
        <w:t>agent·e</w:t>
      </w:r>
      <w:proofErr w:type="spellEnd"/>
      <w:r>
        <w:rPr>
          <w:rFonts w:ascii="Calibri" w:eastAsia="Calibri" w:hAnsi="Calibri" w:cs="Calibri"/>
          <w:sz w:val="24"/>
          <w:szCs w:val="24"/>
        </w:rPr>
        <w:t xml:space="preserve"> en fait la demande et après étude par l’autorité compétente ;</w:t>
      </w:r>
    </w:p>
    <w:p w14:paraId="60964FFD" w14:textId="77777777" w:rsidR="00175CF2" w:rsidRDefault="002B433E">
      <w:pPr>
        <w:numPr>
          <w:ilvl w:val="0"/>
          <w:numId w:val="3"/>
        </w:numPr>
        <w:jc w:val="both"/>
      </w:pPr>
      <w:proofErr w:type="gramStart"/>
      <w:r>
        <w:rPr>
          <w:rFonts w:ascii="Calibri" w:eastAsia="Calibri" w:hAnsi="Calibri" w:cs="Calibri"/>
          <w:sz w:val="24"/>
          <w:szCs w:val="24"/>
        </w:rPr>
        <w:t>seconde</w:t>
      </w:r>
      <w:proofErr w:type="gramEnd"/>
      <w:r>
        <w:rPr>
          <w:rFonts w:ascii="Calibri" w:eastAsia="Calibri" w:hAnsi="Calibri" w:cs="Calibri"/>
          <w:sz w:val="24"/>
          <w:szCs w:val="24"/>
        </w:rPr>
        <w:t xml:space="preserve"> année sur demande de l’</w:t>
      </w:r>
      <w:proofErr w:type="spellStart"/>
      <w:r>
        <w:rPr>
          <w:rFonts w:ascii="Calibri" w:eastAsia="Calibri" w:hAnsi="Calibri" w:cs="Calibri"/>
          <w:sz w:val="24"/>
          <w:szCs w:val="24"/>
        </w:rPr>
        <w:t>agent·e</w:t>
      </w:r>
      <w:proofErr w:type="spellEnd"/>
      <w:r>
        <w:rPr>
          <w:rFonts w:ascii="Calibri" w:eastAsia="Calibri" w:hAnsi="Calibri" w:cs="Calibri"/>
          <w:sz w:val="24"/>
          <w:szCs w:val="24"/>
        </w:rPr>
        <w:t xml:space="preserve"> ou sur proposition de l’administration et selon les mêmes conditions qu’à l’issue de la première année.</w:t>
      </w:r>
    </w:p>
    <w:p w14:paraId="0187831E"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46BDC015"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En cas de non int</w:t>
      </w:r>
      <w:r>
        <w:rPr>
          <w:rFonts w:ascii="Calibri" w:eastAsia="Calibri" w:hAnsi="Calibri" w:cs="Calibri"/>
          <w:sz w:val="24"/>
          <w:szCs w:val="24"/>
        </w:rPr>
        <w:t>égration à la demande de l’</w:t>
      </w:r>
      <w:proofErr w:type="spellStart"/>
      <w:r>
        <w:rPr>
          <w:rFonts w:ascii="Calibri" w:eastAsia="Calibri" w:hAnsi="Calibri" w:cs="Calibri"/>
          <w:sz w:val="24"/>
          <w:szCs w:val="24"/>
        </w:rPr>
        <w:t>agent·e</w:t>
      </w:r>
      <w:proofErr w:type="spellEnd"/>
      <w:r>
        <w:rPr>
          <w:rFonts w:ascii="Calibri" w:eastAsia="Calibri" w:hAnsi="Calibri" w:cs="Calibri"/>
          <w:sz w:val="24"/>
          <w:szCs w:val="24"/>
        </w:rPr>
        <w:t xml:space="preserve"> ou sur décision de l'administration d’accueil, l’</w:t>
      </w:r>
      <w:proofErr w:type="spellStart"/>
      <w:r>
        <w:rPr>
          <w:rFonts w:ascii="Calibri" w:eastAsia="Calibri" w:hAnsi="Calibri" w:cs="Calibri"/>
          <w:sz w:val="24"/>
          <w:szCs w:val="24"/>
        </w:rPr>
        <w:t>agent·e</w:t>
      </w:r>
      <w:proofErr w:type="spellEnd"/>
      <w:r>
        <w:rPr>
          <w:rFonts w:ascii="Calibri" w:eastAsia="Calibri" w:hAnsi="Calibri" w:cs="Calibri"/>
          <w:sz w:val="24"/>
          <w:szCs w:val="24"/>
        </w:rPr>
        <w:t xml:space="preserve"> est </w:t>
      </w:r>
      <w:proofErr w:type="spellStart"/>
      <w:r>
        <w:rPr>
          <w:rFonts w:ascii="Calibri" w:eastAsia="Calibri" w:hAnsi="Calibri" w:cs="Calibri"/>
          <w:sz w:val="24"/>
          <w:szCs w:val="24"/>
        </w:rPr>
        <w:t>replacé·e</w:t>
      </w:r>
      <w:proofErr w:type="spellEnd"/>
      <w:r>
        <w:rPr>
          <w:rFonts w:ascii="Calibri" w:eastAsia="Calibri" w:hAnsi="Calibri" w:cs="Calibri"/>
          <w:sz w:val="24"/>
          <w:szCs w:val="24"/>
        </w:rPr>
        <w:t xml:space="preserve"> dans son administration d’origine. </w:t>
      </w:r>
    </w:p>
    <w:p w14:paraId="787EC995" w14:textId="77777777" w:rsidR="00175CF2" w:rsidRDefault="002B433E">
      <w:pPr>
        <w:jc w:val="both"/>
        <w:rPr>
          <w:rFonts w:ascii="Calibri" w:eastAsia="Calibri" w:hAnsi="Calibri" w:cs="Calibri"/>
          <w:sz w:val="24"/>
          <w:szCs w:val="24"/>
        </w:rPr>
      </w:pPr>
      <w:r>
        <w:rPr>
          <w:rFonts w:ascii="Calibri" w:eastAsia="Calibri" w:hAnsi="Calibri" w:cs="Calibri"/>
          <w:sz w:val="24"/>
          <w:szCs w:val="24"/>
        </w:rPr>
        <w:t xml:space="preserve"> </w:t>
      </w:r>
    </w:p>
    <w:p w14:paraId="33084A46" w14:textId="77777777" w:rsidR="00175CF2" w:rsidRDefault="002B433E">
      <w:pPr>
        <w:numPr>
          <w:ilvl w:val="0"/>
          <w:numId w:val="7"/>
        </w:numPr>
        <w:jc w:val="both"/>
        <w:rPr>
          <w:rFonts w:ascii="Tahoma" w:eastAsia="Tahoma" w:hAnsi="Tahoma" w:cs="Tahoma"/>
          <w:sz w:val="28"/>
          <w:szCs w:val="28"/>
        </w:rPr>
      </w:pPr>
      <w:r>
        <w:rPr>
          <w:rFonts w:ascii="Calibri" w:eastAsia="Calibri" w:hAnsi="Calibri" w:cs="Calibri"/>
          <w:b/>
          <w:sz w:val="24"/>
          <w:szCs w:val="24"/>
          <w:u w:val="single"/>
        </w:rPr>
        <w:t xml:space="preserve">Situation des PE </w:t>
      </w:r>
      <w:proofErr w:type="spellStart"/>
      <w:r>
        <w:rPr>
          <w:rFonts w:ascii="Calibri" w:eastAsia="Calibri" w:hAnsi="Calibri" w:cs="Calibri"/>
          <w:b/>
          <w:sz w:val="24"/>
          <w:szCs w:val="24"/>
          <w:u w:val="single"/>
        </w:rPr>
        <w:t>détaché·es</w:t>
      </w:r>
      <w:proofErr w:type="spellEnd"/>
      <w:r>
        <w:rPr>
          <w:rFonts w:ascii="Calibri" w:eastAsia="Calibri" w:hAnsi="Calibri" w:cs="Calibri"/>
          <w:b/>
          <w:sz w:val="24"/>
          <w:szCs w:val="24"/>
          <w:u w:val="single"/>
        </w:rPr>
        <w:t xml:space="preserve"> dans le corps des </w:t>
      </w:r>
      <w:proofErr w:type="spellStart"/>
      <w:r>
        <w:rPr>
          <w:rFonts w:ascii="Calibri" w:eastAsia="Calibri" w:hAnsi="Calibri" w:cs="Calibri"/>
          <w:b/>
          <w:sz w:val="24"/>
          <w:szCs w:val="24"/>
          <w:u w:val="single"/>
        </w:rPr>
        <w:t>PsyEN</w:t>
      </w:r>
      <w:proofErr w:type="spellEnd"/>
      <w:r>
        <w:rPr>
          <w:rFonts w:ascii="Calibri" w:eastAsia="Calibri" w:hAnsi="Calibri" w:cs="Calibri"/>
          <w:b/>
          <w:sz w:val="24"/>
          <w:szCs w:val="24"/>
          <w:u w:val="single"/>
        </w:rPr>
        <w:t>-EDA lors de la constitution initiale du corps (détachés depu</w:t>
      </w:r>
      <w:r>
        <w:rPr>
          <w:rFonts w:ascii="Calibri" w:eastAsia="Calibri" w:hAnsi="Calibri" w:cs="Calibri"/>
          <w:b/>
          <w:sz w:val="24"/>
          <w:szCs w:val="24"/>
          <w:u w:val="single"/>
        </w:rPr>
        <w:t>is le 01/09/2017)</w:t>
      </w:r>
    </w:p>
    <w:p w14:paraId="60161DB2" w14:textId="77777777" w:rsidR="00175CF2" w:rsidRDefault="002B433E">
      <w:pPr>
        <w:rPr>
          <w:rFonts w:ascii="Calibri" w:eastAsia="Calibri" w:hAnsi="Calibri" w:cs="Calibri"/>
          <w:b/>
          <w:sz w:val="24"/>
          <w:szCs w:val="24"/>
        </w:rPr>
      </w:pPr>
      <w:r>
        <w:rPr>
          <w:rFonts w:ascii="Calibri" w:eastAsia="Calibri" w:hAnsi="Calibri" w:cs="Calibri"/>
          <w:b/>
          <w:sz w:val="24"/>
          <w:szCs w:val="24"/>
        </w:rPr>
        <w:t xml:space="preserve"> </w:t>
      </w:r>
    </w:p>
    <w:p w14:paraId="4B7E0D54" w14:textId="77777777" w:rsidR="00175CF2" w:rsidRDefault="002B433E">
      <w:pPr>
        <w:rPr>
          <w:rFonts w:ascii="Calibri" w:eastAsia="Calibri" w:hAnsi="Calibri" w:cs="Calibri"/>
          <w:sz w:val="24"/>
          <w:szCs w:val="24"/>
        </w:rPr>
      </w:pPr>
      <w:r>
        <w:rPr>
          <w:rFonts w:ascii="Calibri" w:eastAsia="Calibri" w:hAnsi="Calibri" w:cs="Calibri"/>
          <w:sz w:val="24"/>
          <w:szCs w:val="24"/>
        </w:rPr>
        <w:t xml:space="preserve">Deux situations pour ces personnels, soit : </w:t>
      </w:r>
    </w:p>
    <w:p w14:paraId="3DD23D49" w14:textId="77777777" w:rsidR="00175CF2" w:rsidRDefault="002B433E">
      <w:pPr>
        <w:rPr>
          <w:rFonts w:ascii="Calibri" w:eastAsia="Calibri" w:hAnsi="Calibri" w:cs="Calibri"/>
          <w:sz w:val="24"/>
          <w:szCs w:val="24"/>
        </w:rPr>
      </w:pPr>
      <w:r>
        <w:rPr>
          <w:rFonts w:ascii="Calibri" w:eastAsia="Calibri" w:hAnsi="Calibri" w:cs="Calibri"/>
          <w:sz w:val="24"/>
          <w:szCs w:val="24"/>
        </w:rPr>
        <w:lastRenderedPageBreak/>
        <w:t xml:space="preserve"> </w:t>
      </w:r>
    </w:p>
    <w:p w14:paraId="4585F754" w14:textId="77777777" w:rsidR="00175CF2" w:rsidRDefault="002B433E">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ils ou elles sont en cours de détachement au 1/09/2025 et ils ou elles peuvent demander, à leur initiative à réintégrer le corps des PE ou à être intégrés dans le corps des </w:t>
      </w:r>
      <w:proofErr w:type="spellStart"/>
      <w:r>
        <w:rPr>
          <w:rFonts w:ascii="Calibri" w:eastAsia="Calibri" w:hAnsi="Calibri" w:cs="Calibri"/>
          <w:sz w:val="24"/>
          <w:szCs w:val="24"/>
        </w:rPr>
        <w:t>PsyEN</w:t>
      </w:r>
      <w:proofErr w:type="spellEnd"/>
      <w:r>
        <w:rPr>
          <w:rFonts w:ascii="Calibri" w:eastAsia="Calibri" w:hAnsi="Calibri" w:cs="Calibri"/>
          <w:sz w:val="24"/>
          <w:szCs w:val="24"/>
        </w:rPr>
        <w:t xml:space="preserve"> spécialité EDA ;</w:t>
      </w:r>
    </w:p>
    <w:p w14:paraId="3F6E3B3D" w14:textId="77777777" w:rsidR="00175CF2" w:rsidRDefault="002B433E">
      <w:pPr>
        <w:ind w:left="720"/>
        <w:rPr>
          <w:rFonts w:ascii="Calibri" w:eastAsia="Calibri" w:hAnsi="Calibri" w:cs="Calibri"/>
          <w:sz w:val="24"/>
          <w:szCs w:val="24"/>
        </w:rPr>
      </w:pPr>
      <w:r>
        <w:rPr>
          <w:rFonts w:ascii="Calibri" w:eastAsia="Calibri" w:hAnsi="Calibri" w:cs="Calibri"/>
          <w:sz w:val="24"/>
          <w:szCs w:val="24"/>
        </w:rPr>
        <w:t xml:space="preserve"> </w:t>
      </w:r>
    </w:p>
    <w:p w14:paraId="02E37851" w14:textId="77777777" w:rsidR="00175CF2" w:rsidRDefault="002B433E">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ils ou elles arrivent en fin de période de détache</w:t>
      </w:r>
      <w:r>
        <w:rPr>
          <w:rFonts w:ascii="Calibri" w:eastAsia="Calibri" w:hAnsi="Calibri" w:cs="Calibri"/>
          <w:sz w:val="24"/>
          <w:szCs w:val="24"/>
        </w:rPr>
        <w:t xml:space="preserve">ment au 31/08/2025 alors l’administration doit les </w:t>
      </w:r>
      <w:proofErr w:type="gramStart"/>
      <w:r>
        <w:rPr>
          <w:rFonts w:ascii="Calibri" w:eastAsia="Calibri" w:hAnsi="Calibri" w:cs="Calibri"/>
          <w:sz w:val="24"/>
          <w:szCs w:val="24"/>
        </w:rPr>
        <w:t>interroger  pour</w:t>
      </w:r>
      <w:proofErr w:type="gramEnd"/>
      <w:r>
        <w:rPr>
          <w:rFonts w:ascii="Calibri" w:eastAsia="Calibri" w:hAnsi="Calibri" w:cs="Calibri"/>
          <w:sz w:val="24"/>
          <w:szCs w:val="24"/>
        </w:rPr>
        <w:t xml:space="preserve"> connaître leur souhait : réintégration dans le corps des PE ou intégration définitive dans le corps des </w:t>
      </w:r>
      <w:proofErr w:type="spellStart"/>
      <w:r>
        <w:rPr>
          <w:rFonts w:ascii="Calibri" w:eastAsia="Calibri" w:hAnsi="Calibri" w:cs="Calibri"/>
          <w:sz w:val="24"/>
          <w:szCs w:val="24"/>
        </w:rPr>
        <w:t>PsyEN</w:t>
      </w:r>
      <w:proofErr w:type="spellEnd"/>
      <w:r>
        <w:rPr>
          <w:rFonts w:ascii="Calibri" w:eastAsia="Calibri" w:hAnsi="Calibri" w:cs="Calibri"/>
          <w:sz w:val="24"/>
          <w:szCs w:val="24"/>
        </w:rPr>
        <w:t xml:space="preserve"> spécialité EDA ;</w:t>
      </w:r>
    </w:p>
    <w:p w14:paraId="6B8B7724" w14:textId="77777777" w:rsidR="00175CF2" w:rsidRDefault="002B433E">
      <w:pPr>
        <w:rPr>
          <w:rFonts w:ascii="Calibri" w:eastAsia="Calibri" w:hAnsi="Calibri" w:cs="Calibri"/>
          <w:sz w:val="24"/>
          <w:szCs w:val="24"/>
        </w:rPr>
      </w:pPr>
      <w:r>
        <w:rPr>
          <w:rFonts w:ascii="Calibri" w:eastAsia="Calibri" w:hAnsi="Calibri" w:cs="Calibri"/>
          <w:sz w:val="24"/>
          <w:szCs w:val="24"/>
        </w:rPr>
        <w:t xml:space="preserve"> </w:t>
      </w:r>
    </w:p>
    <w:p w14:paraId="6066975D" w14:textId="77777777" w:rsidR="00175CF2" w:rsidRDefault="002B433E">
      <w:pPr>
        <w:rPr>
          <w:rFonts w:ascii="Roboto" w:eastAsia="Roboto" w:hAnsi="Roboto" w:cs="Roboto"/>
          <w:b/>
          <w:color w:val="0070C0"/>
          <w:sz w:val="21"/>
          <w:szCs w:val="21"/>
        </w:rPr>
      </w:pPr>
      <w:r>
        <w:rPr>
          <w:rFonts w:ascii="Roboto" w:eastAsia="Roboto" w:hAnsi="Roboto" w:cs="Roboto"/>
          <w:b/>
          <w:color w:val="0070C0"/>
          <w:sz w:val="21"/>
          <w:szCs w:val="21"/>
        </w:rPr>
        <w:t xml:space="preserve"> </w:t>
      </w:r>
    </w:p>
    <w:p w14:paraId="5AC9C24B" w14:textId="77777777" w:rsidR="00175CF2" w:rsidRDefault="002B433E">
      <w:pPr>
        <w:rPr>
          <w:rFonts w:ascii="Roboto" w:eastAsia="Roboto" w:hAnsi="Roboto" w:cs="Roboto"/>
          <w:i/>
          <w:color w:val="0070C0"/>
          <w:sz w:val="21"/>
          <w:szCs w:val="21"/>
        </w:rPr>
      </w:pPr>
      <w:r>
        <w:rPr>
          <w:rFonts w:ascii="Roboto" w:eastAsia="Roboto" w:hAnsi="Roboto" w:cs="Roboto"/>
          <w:i/>
          <w:color w:val="0070C0"/>
          <w:sz w:val="21"/>
          <w:szCs w:val="21"/>
        </w:rPr>
        <w:t xml:space="preserve"> </w:t>
      </w:r>
    </w:p>
    <w:p w14:paraId="092FAC96" w14:textId="77777777" w:rsidR="00175CF2" w:rsidRDefault="002B433E">
      <w:pPr>
        <w:pStyle w:val="Titre2"/>
        <w:keepNext w:val="0"/>
        <w:keepLines w:val="0"/>
        <w:spacing w:before="0" w:after="0"/>
        <w:jc w:val="right"/>
        <w:rPr>
          <w:rFonts w:ascii="Tahoma" w:eastAsia="Tahoma" w:hAnsi="Tahoma" w:cs="Tahoma"/>
          <w:b/>
          <w:i/>
          <w:sz w:val="28"/>
          <w:szCs w:val="28"/>
        </w:rPr>
      </w:pPr>
      <w:bookmarkStart w:id="5" w:name="_hf84o8yk5fao" w:colFirst="0" w:colLast="0"/>
      <w:bookmarkEnd w:id="5"/>
      <w:r>
        <w:rPr>
          <w:rFonts w:ascii="Tahoma" w:eastAsia="Tahoma" w:hAnsi="Tahoma" w:cs="Tahoma"/>
          <w:b/>
          <w:i/>
          <w:sz w:val="28"/>
          <w:szCs w:val="28"/>
        </w:rPr>
        <w:t>Le Secteur Administratif</w:t>
      </w:r>
    </w:p>
    <w:p w14:paraId="04FCBB35" w14:textId="77777777" w:rsidR="00175CF2" w:rsidRDefault="00175CF2">
      <w:pPr>
        <w:spacing w:line="240" w:lineRule="auto"/>
        <w:rPr>
          <w:rFonts w:ascii="Tahoma" w:eastAsia="Tahoma" w:hAnsi="Tahoma" w:cs="Tahoma"/>
          <w:sz w:val="28"/>
          <w:szCs w:val="28"/>
        </w:rPr>
      </w:pPr>
    </w:p>
    <w:p w14:paraId="6EA68305" w14:textId="77777777" w:rsidR="00175CF2" w:rsidRDefault="00175CF2">
      <w:pPr>
        <w:spacing w:line="240" w:lineRule="auto"/>
        <w:rPr>
          <w:rFonts w:ascii="Tahoma" w:eastAsia="Tahoma" w:hAnsi="Tahoma" w:cs="Tahoma"/>
          <w:sz w:val="28"/>
          <w:szCs w:val="28"/>
        </w:rPr>
      </w:pPr>
    </w:p>
    <w:sectPr w:rsidR="00175CF2">
      <w:footerReference w:type="default" r:id="rId18"/>
      <w:pgSz w:w="11906" w:h="16838"/>
      <w:pgMar w:top="566" w:right="566" w:bottom="1534"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51A0" w14:textId="77777777" w:rsidR="002B433E" w:rsidRDefault="002B433E">
      <w:pPr>
        <w:spacing w:line="240" w:lineRule="auto"/>
      </w:pPr>
      <w:r>
        <w:separator/>
      </w:r>
    </w:p>
  </w:endnote>
  <w:endnote w:type="continuationSeparator" w:id="0">
    <w:p w14:paraId="51834624" w14:textId="77777777" w:rsidR="002B433E" w:rsidRDefault="002B4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935A" w14:textId="3C9A060B" w:rsidR="00175CF2" w:rsidRDefault="00175CF2">
    <w:pPr>
      <w:jc w:val="center"/>
      <w:rPr>
        <w:i/>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8140" w14:textId="77777777" w:rsidR="002B433E" w:rsidRDefault="002B433E">
      <w:pPr>
        <w:spacing w:line="240" w:lineRule="auto"/>
      </w:pPr>
      <w:r>
        <w:separator/>
      </w:r>
    </w:p>
  </w:footnote>
  <w:footnote w:type="continuationSeparator" w:id="0">
    <w:p w14:paraId="3E664C60" w14:textId="77777777" w:rsidR="002B433E" w:rsidRDefault="002B43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13"/>
    <w:multiLevelType w:val="multilevel"/>
    <w:tmpl w:val="372274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BB441B"/>
    <w:multiLevelType w:val="multilevel"/>
    <w:tmpl w:val="E028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C3459"/>
    <w:multiLevelType w:val="multilevel"/>
    <w:tmpl w:val="FBE4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0068C0"/>
    <w:multiLevelType w:val="multilevel"/>
    <w:tmpl w:val="D9A8AD9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DBB3D9F"/>
    <w:multiLevelType w:val="multilevel"/>
    <w:tmpl w:val="8B02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931302"/>
    <w:multiLevelType w:val="multilevel"/>
    <w:tmpl w:val="B7466D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FD942A4"/>
    <w:multiLevelType w:val="multilevel"/>
    <w:tmpl w:val="C3A40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F2626F"/>
    <w:multiLevelType w:val="multilevel"/>
    <w:tmpl w:val="1E96CA8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29344CF"/>
    <w:multiLevelType w:val="multilevel"/>
    <w:tmpl w:val="E7565B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5E80BA3"/>
    <w:multiLevelType w:val="multilevel"/>
    <w:tmpl w:val="61B6F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DD4055C"/>
    <w:multiLevelType w:val="multilevel"/>
    <w:tmpl w:val="91BA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EE26C7"/>
    <w:multiLevelType w:val="multilevel"/>
    <w:tmpl w:val="9298706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0"/>
  </w:num>
  <w:num w:numId="2">
    <w:abstractNumId w:val="4"/>
  </w:num>
  <w:num w:numId="3">
    <w:abstractNumId w:val="6"/>
  </w:num>
  <w:num w:numId="4">
    <w:abstractNumId w:val="5"/>
  </w:num>
  <w:num w:numId="5">
    <w:abstractNumId w:val="7"/>
  </w:num>
  <w:num w:numId="6">
    <w:abstractNumId w:val="9"/>
  </w:num>
  <w:num w:numId="7">
    <w:abstractNumId w:val="11"/>
  </w:num>
  <w:num w:numId="8">
    <w:abstractNumId w:val="3"/>
  </w:num>
  <w:num w:numId="9">
    <w:abstractNumId w:val="1"/>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F2"/>
    <w:rsid w:val="00175CF2"/>
    <w:rsid w:val="002B433E"/>
    <w:rsid w:val="00364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D993"/>
  <w15:docId w15:val="{4D58B2AE-1604-4A6E-BE27-04425E15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3647E7"/>
    <w:pPr>
      <w:tabs>
        <w:tab w:val="center" w:pos="4536"/>
        <w:tab w:val="right" w:pos="9072"/>
      </w:tabs>
      <w:spacing w:line="240" w:lineRule="auto"/>
    </w:pPr>
  </w:style>
  <w:style w:type="character" w:customStyle="1" w:styleId="En-tteCar">
    <w:name w:val="En-tête Car"/>
    <w:basedOn w:val="Policepardfaut"/>
    <w:link w:val="En-tte"/>
    <w:uiPriority w:val="99"/>
    <w:rsid w:val="003647E7"/>
  </w:style>
  <w:style w:type="paragraph" w:styleId="Pieddepage">
    <w:name w:val="footer"/>
    <w:basedOn w:val="Normal"/>
    <w:link w:val="PieddepageCar"/>
    <w:uiPriority w:val="99"/>
    <w:unhideWhenUsed/>
    <w:rsid w:val="003647E7"/>
    <w:pPr>
      <w:tabs>
        <w:tab w:val="center" w:pos="4536"/>
        <w:tab w:val="right" w:pos="9072"/>
      </w:tabs>
      <w:spacing w:line="240" w:lineRule="auto"/>
    </w:pPr>
  </w:style>
  <w:style w:type="character" w:customStyle="1" w:styleId="PieddepageCar">
    <w:name w:val="Pied de page Car"/>
    <w:basedOn w:val="Policepardfaut"/>
    <w:link w:val="Pieddepage"/>
    <w:uiPriority w:val="99"/>
    <w:rsid w:val="0036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gouv.fr/bo/2024/Hebdo48/MENH2428155N" TargetMode="External"/><Relationship Id="rId13" Type="http://schemas.openxmlformats.org/officeDocument/2006/relationships/hyperlink" Target="https://i-dgrh2-app.adc.education.fr/pegas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legifrance.gouv.fr/codes/article_lc/LEGIARTI000033220318" TargetMode="External"/><Relationship Id="rId17" Type="http://schemas.openxmlformats.org/officeDocument/2006/relationships/hyperlink" Target="https://i-dgrh2-app.adc.education.fr/pegase" TargetMode="External"/><Relationship Id="rId2" Type="http://schemas.openxmlformats.org/officeDocument/2006/relationships/styles" Target="styles.xml"/><Relationship Id="rId16" Type="http://schemas.openxmlformats.org/officeDocument/2006/relationships/hyperlink" Target="https://www.education.gouv.fr/sites/default/files/perso155_annexe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grh2-app.adc.education.fr/pegase" TargetMode="External"/><Relationship Id="rId5" Type="http://schemas.openxmlformats.org/officeDocument/2006/relationships/footnotes" Target="footnotes.xml"/><Relationship Id="rId15" Type="http://schemas.openxmlformats.org/officeDocument/2006/relationships/hyperlink" Target="https://www.education.gouv.fr/sites/default/files/perso155_annexe5.pdf" TargetMode="External"/><Relationship Id="rId10" Type="http://schemas.openxmlformats.org/officeDocument/2006/relationships/hyperlink" Target="https://i-dgrh2-app.adc.education.fr/pega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uv.fr/bo/2024/Special5/MENH2428666X" TargetMode="External"/><Relationship Id="rId14" Type="http://schemas.openxmlformats.org/officeDocument/2006/relationships/hyperlink" Target="https://i-dgrh2-app.adc.education.fr/peg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1863</Words>
  <Characters>10251</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2</cp:revision>
  <dcterms:created xsi:type="dcterms:W3CDTF">2025-01-10T10:55:00Z</dcterms:created>
  <dcterms:modified xsi:type="dcterms:W3CDTF">2025-01-10T10:55:00Z</dcterms:modified>
</cp:coreProperties>
</file>